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76FBC" w14:textId="77777777" w:rsidR="00702C30" w:rsidRPr="003A602C" w:rsidRDefault="001B3075" w:rsidP="00867334">
      <w:pPr>
        <w:shd w:val="clear" w:color="auto" w:fill="F3F3F3"/>
        <w:spacing w:line="276" w:lineRule="auto"/>
        <w:ind w:right="72"/>
        <w:jc w:val="center"/>
        <w:outlineLvl w:val="0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3A602C">
        <w:rPr>
          <w:rFonts w:ascii="Arial" w:hAnsi="Arial" w:cs="Arial"/>
          <w:b/>
          <w:sz w:val="18"/>
          <w:szCs w:val="18"/>
        </w:rPr>
        <w:t>ZAŁĄCZNIK DO OFERTY</w:t>
      </w:r>
    </w:p>
    <w:p w14:paraId="04F67BC2" w14:textId="77777777" w:rsidR="00767843" w:rsidRPr="003A602C" w:rsidRDefault="00767843" w:rsidP="00867334">
      <w:pPr>
        <w:spacing w:line="276" w:lineRule="auto"/>
        <w:ind w:right="72"/>
        <w:jc w:val="center"/>
        <w:outlineLvl w:val="0"/>
        <w:rPr>
          <w:rFonts w:ascii="Arial" w:hAnsi="Arial" w:cs="Arial"/>
          <w:b/>
          <w:sz w:val="18"/>
          <w:szCs w:val="18"/>
        </w:rPr>
      </w:pPr>
    </w:p>
    <w:tbl>
      <w:tblPr>
        <w:tblW w:w="3588" w:type="pct"/>
        <w:tblBorders>
          <w:top w:val="single" w:sz="12" w:space="0" w:color="C09200"/>
          <w:left w:val="single" w:sz="12" w:space="0" w:color="C09200"/>
          <w:bottom w:val="single" w:sz="12" w:space="0" w:color="C09200"/>
          <w:right w:val="single" w:sz="12" w:space="0" w:color="C092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4"/>
        <w:gridCol w:w="203"/>
      </w:tblGrid>
      <w:tr w:rsidR="008A4F1B" w:rsidRPr="003A602C" w14:paraId="650FBF07" w14:textId="77777777" w:rsidTr="00CD0562">
        <w:tc>
          <w:tcPr>
            <w:tcW w:w="4855" w:type="pct"/>
          </w:tcPr>
          <w:p w14:paraId="7EF669B6" w14:textId="77777777" w:rsidR="008A4F1B" w:rsidRPr="003A602C" w:rsidRDefault="005058F4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0000CC"/>
                <w:sz w:val="18"/>
                <w:szCs w:val="18"/>
              </w:rPr>
              <w:t>Pieczęć Wykonawcy:</w:t>
            </w:r>
          </w:p>
          <w:p w14:paraId="4E4259B6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</w:p>
          <w:p w14:paraId="627878DA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</w:p>
          <w:p w14:paraId="42C125F3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</w:p>
          <w:p w14:paraId="06D9C48E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</w:p>
          <w:p w14:paraId="6B5636ED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" w:type="pct"/>
          </w:tcPr>
          <w:p w14:paraId="65861CE7" w14:textId="77777777" w:rsidR="008A4F1B" w:rsidRPr="003A602C" w:rsidRDefault="008A4F1B" w:rsidP="00867334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8206C13" w14:textId="77777777" w:rsidR="008A4F1B" w:rsidRPr="003A602C" w:rsidRDefault="008A4F1B" w:rsidP="00867334">
      <w:pPr>
        <w:pStyle w:val="Tytu"/>
        <w:spacing w:after="40" w:line="276" w:lineRule="auto"/>
        <w:ind w:left="0" w:right="72" w:firstLine="0"/>
        <w:jc w:val="left"/>
        <w:rPr>
          <w:rFonts w:cs="Arial"/>
          <w:b w:val="0"/>
          <w:bCs/>
          <w:sz w:val="18"/>
          <w:szCs w:val="18"/>
        </w:rPr>
      </w:pPr>
    </w:p>
    <w:p w14:paraId="7EDEEA64" w14:textId="77777777" w:rsidR="00192E8D" w:rsidRPr="003A602C" w:rsidRDefault="00867334" w:rsidP="00867334">
      <w:pPr>
        <w:pStyle w:val="Nagwek"/>
        <w:tabs>
          <w:tab w:val="left" w:pos="708"/>
        </w:tabs>
        <w:spacing w:after="240" w:line="276" w:lineRule="auto"/>
        <w:jc w:val="center"/>
        <w:rPr>
          <w:rFonts w:cs="Arial"/>
          <w:b/>
          <w:color w:val="002060"/>
          <w:sz w:val="18"/>
          <w:szCs w:val="18"/>
        </w:rPr>
      </w:pPr>
      <w:r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>„R</w:t>
      </w:r>
      <w:r w:rsidR="00192E8D"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>EMONT SIECI WODOCIĄGOWEJ</w:t>
      </w:r>
      <w:r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 xml:space="preserve"> </w:t>
      </w:r>
      <w:r w:rsidR="000E230A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 xml:space="preserve">METODĄ PRZEWIERTU STEROWANEGO </w:t>
      </w:r>
      <w:r w:rsidR="00192E8D"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>WRAZ Z BUDOWĄ SIECI</w:t>
      </w:r>
      <w:r w:rsidR="000E230A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 xml:space="preserve"> WODOCIĄGOWEJ ORAZ KANALIZACYJNEJ </w:t>
      </w:r>
      <w:r w:rsidR="00192E8D"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>W SŁUBICACH</w:t>
      </w:r>
      <w:r w:rsidR="00C271CA" w:rsidRPr="003A602C">
        <w:rPr>
          <w:rFonts w:cs="Arial"/>
          <w:b/>
          <w:iCs/>
          <w:color w:val="002060"/>
          <w:sz w:val="18"/>
          <w:szCs w:val="18"/>
        </w:rPr>
        <w:t xml:space="preserve"> </w:t>
      </w:r>
      <w:r w:rsidR="00192E8D" w:rsidRPr="003A602C">
        <w:rPr>
          <w:rFonts w:cs="Arial"/>
          <w:b/>
          <w:iCs/>
          <w:color w:val="002060"/>
          <w:sz w:val="18"/>
          <w:szCs w:val="18"/>
        </w:rPr>
        <w:t>realizowanego według WARUNKÓW KONTRAKTOWYCH FIDIC (czerwony)</w:t>
      </w:r>
      <w:r w:rsidR="000E230A">
        <w:rPr>
          <w:rFonts w:cs="Arial"/>
          <w:b/>
          <w:iCs/>
          <w:color w:val="002060"/>
          <w:sz w:val="18"/>
          <w:szCs w:val="18"/>
        </w:rPr>
        <w:t xml:space="preserve"> –</w:t>
      </w:r>
      <w:r w:rsidR="00192E8D" w:rsidRPr="003A602C">
        <w:rPr>
          <w:rFonts w:cs="Arial"/>
          <w:b/>
          <w:iCs/>
          <w:color w:val="002060"/>
          <w:sz w:val="18"/>
          <w:szCs w:val="18"/>
        </w:rPr>
        <w:t xml:space="preserve"> </w:t>
      </w:r>
      <w:r w:rsidR="00192E8D" w:rsidRPr="003A602C">
        <w:rPr>
          <w:rFonts w:cs="Arial"/>
          <w:b/>
          <w:iCs/>
          <w:color w:val="002060"/>
          <w:sz w:val="18"/>
          <w:szCs w:val="18"/>
          <w:u w:val="dash" w:color="E36C0A" w:themeColor="accent6" w:themeShade="BF"/>
        </w:rPr>
        <w:t>CZĘŚĆ II"</w:t>
      </w:r>
    </w:p>
    <w:p w14:paraId="48D30832" w14:textId="77777777" w:rsidR="00575AFE" w:rsidRPr="003A602C" w:rsidRDefault="00575AFE" w:rsidP="00867334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3A602C">
        <w:rPr>
          <w:rFonts w:ascii="Arial" w:hAnsi="Arial" w:cs="Arial"/>
          <w:b/>
          <w:sz w:val="18"/>
          <w:szCs w:val="18"/>
        </w:rPr>
        <w:t>1. ZAMAWIAJĄCY:</w:t>
      </w:r>
    </w:p>
    <w:p w14:paraId="62EE4865" w14:textId="77777777" w:rsidR="00F933F6" w:rsidRPr="003A602C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18"/>
          <w:szCs w:val="18"/>
        </w:rPr>
      </w:pPr>
      <w:r w:rsidRPr="003A602C">
        <w:rPr>
          <w:rFonts w:ascii="Arial" w:hAnsi="Arial" w:cs="Arial"/>
          <w:caps/>
          <w:sz w:val="18"/>
          <w:szCs w:val="18"/>
        </w:rPr>
        <w:t>Zakład Usług Wodno-Ściekowych Sp. z o.o.</w:t>
      </w:r>
    </w:p>
    <w:p w14:paraId="6A5C298C" w14:textId="77777777" w:rsidR="00F933F6" w:rsidRPr="003A602C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18"/>
          <w:szCs w:val="18"/>
        </w:rPr>
      </w:pPr>
      <w:r w:rsidRPr="003A602C">
        <w:rPr>
          <w:rFonts w:ascii="Arial" w:hAnsi="Arial" w:cs="Arial"/>
          <w:caps/>
          <w:sz w:val="18"/>
          <w:szCs w:val="18"/>
        </w:rPr>
        <w:t>w Słubicach</w:t>
      </w:r>
    </w:p>
    <w:p w14:paraId="6CB2DE69" w14:textId="77777777" w:rsidR="00F933F6" w:rsidRPr="003A602C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18"/>
          <w:szCs w:val="18"/>
        </w:rPr>
      </w:pPr>
      <w:r w:rsidRPr="003A602C">
        <w:rPr>
          <w:rFonts w:ascii="Arial" w:hAnsi="Arial" w:cs="Arial"/>
          <w:caps/>
          <w:sz w:val="18"/>
          <w:szCs w:val="18"/>
        </w:rPr>
        <w:t>ul. Krótka 9, 69-100 Słubice</w:t>
      </w:r>
    </w:p>
    <w:p w14:paraId="250B5A55" w14:textId="77777777" w:rsidR="00F933F6" w:rsidRPr="003A602C" w:rsidRDefault="00CE3D3D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18"/>
          <w:szCs w:val="18"/>
        </w:rPr>
      </w:pPr>
      <w:hyperlink r:id="rId8" w:history="1">
        <w:r w:rsidR="00F933F6" w:rsidRPr="003A602C">
          <w:rPr>
            <w:rStyle w:val="Hipercze"/>
            <w:rFonts w:ascii="Arial" w:hAnsi="Arial" w:cs="Arial"/>
            <w:b/>
            <w:bCs/>
            <w:caps/>
            <w:sz w:val="18"/>
            <w:szCs w:val="18"/>
          </w:rPr>
          <w:t>www.zuws.pl</w:t>
        </w:r>
      </w:hyperlink>
      <w:r w:rsidR="00F933F6" w:rsidRPr="003A602C">
        <w:rPr>
          <w:rFonts w:ascii="Arial" w:hAnsi="Arial" w:cs="Arial"/>
          <w:caps/>
          <w:sz w:val="18"/>
          <w:szCs w:val="18"/>
        </w:rPr>
        <w:t>, REGON: 210516385, NIP: 598 00 03 799,</w:t>
      </w:r>
    </w:p>
    <w:p w14:paraId="3F952FD8" w14:textId="77777777" w:rsidR="00F933F6" w:rsidRPr="003A602C" w:rsidRDefault="00F933F6" w:rsidP="00867334">
      <w:pPr>
        <w:pStyle w:val="Bezodstpw"/>
        <w:spacing w:line="276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3A602C">
        <w:rPr>
          <w:rFonts w:ascii="Arial" w:hAnsi="Arial" w:cs="Arial"/>
          <w:b/>
          <w:iCs/>
          <w:sz w:val="18"/>
          <w:szCs w:val="18"/>
        </w:rPr>
        <w:t>zaprasza do przetargu nieograniczonego</w:t>
      </w:r>
      <w:r w:rsidR="00C271CA" w:rsidRPr="003A602C">
        <w:rPr>
          <w:rFonts w:ascii="Arial" w:hAnsi="Arial" w:cs="Arial"/>
          <w:b/>
          <w:iCs/>
          <w:sz w:val="18"/>
          <w:szCs w:val="18"/>
        </w:rPr>
        <w:t xml:space="preserve"> roboty budowlane </w:t>
      </w:r>
      <w:r w:rsidRPr="003A602C">
        <w:rPr>
          <w:rFonts w:ascii="Arial" w:hAnsi="Arial" w:cs="Arial"/>
          <w:b/>
          <w:iCs/>
          <w:sz w:val="18"/>
          <w:szCs w:val="18"/>
        </w:rPr>
        <w:t>p.n.:</w:t>
      </w:r>
    </w:p>
    <w:p w14:paraId="59593773" w14:textId="77777777" w:rsidR="001B3075" w:rsidRPr="003A602C" w:rsidRDefault="001B3075" w:rsidP="00867334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4EB129A4" w14:textId="77777777" w:rsidR="0083291A" w:rsidRPr="003A602C" w:rsidRDefault="007F0DEF" w:rsidP="00867334">
      <w:pPr>
        <w:spacing w:line="276" w:lineRule="auto"/>
        <w:rPr>
          <w:rFonts w:ascii="Arial" w:hAnsi="Arial" w:cs="Arial"/>
          <w:b/>
          <w:caps/>
          <w:sz w:val="18"/>
          <w:szCs w:val="18"/>
        </w:rPr>
      </w:pPr>
      <w:r w:rsidRPr="003A602C">
        <w:rPr>
          <w:rFonts w:ascii="Arial" w:hAnsi="Arial" w:cs="Arial"/>
          <w:b/>
          <w:caps/>
          <w:sz w:val="18"/>
          <w:szCs w:val="18"/>
        </w:rPr>
        <w:t>2. WYKONAWCA</w:t>
      </w:r>
      <w:r w:rsidRPr="003A602C">
        <w:rPr>
          <w:rStyle w:val="FootnoteCharacters"/>
          <w:rFonts w:ascii="Arial" w:hAnsi="Arial" w:cs="Arial"/>
          <w:caps/>
          <w:sz w:val="18"/>
          <w:szCs w:val="18"/>
        </w:rPr>
        <w:footnoteReference w:id="1"/>
      </w:r>
      <w:r w:rsidRPr="003A602C">
        <w:rPr>
          <w:rFonts w:ascii="Arial" w:hAnsi="Arial" w:cs="Arial"/>
          <w:b/>
          <w:caps/>
          <w:sz w:val="18"/>
          <w:szCs w:val="18"/>
        </w:rPr>
        <w:t>:</w:t>
      </w:r>
    </w:p>
    <w:tbl>
      <w:tblPr>
        <w:tblW w:w="5000" w:type="pct"/>
        <w:tblBorders>
          <w:top w:val="single" w:sz="2" w:space="0" w:color="E36C0A" w:themeColor="accent6" w:themeShade="BF"/>
          <w:left w:val="single" w:sz="2" w:space="0" w:color="E36C0A" w:themeColor="accent6" w:themeShade="BF"/>
          <w:bottom w:val="single" w:sz="2" w:space="0" w:color="E36C0A" w:themeColor="accent6" w:themeShade="BF"/>
          <w:right w:val="single" w:sz="2" w:space="0" w:color="E36C0A" w:themeColor="accent6" w:themeShade="BF"/>
          <w:insideH w:val="single" w:sz="2" w:space="0" w:color="E36C0A" w:themeColor="accent6" w:themeShade="BF"/>
          <w:insideV w:val="single" w:sz="2" w:space="0" w:color="E36C0A" w:themeColor="accent6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649"/>
        <w:gridCol w:w="5454"/>
      </w:tblGrid>
      <w:tr w:rsidR="00CD0562" w:rsidRPr="003A602C" w14:paraId="752E4ECD" w14:textId="77777777" w:rsidTr="00CD0562">
        <w:trPr>
          <w:cantSplit/>
        </w:trPr>
        <w:tc>
          <w:tcPr>
            <w:tcW w:w="345" w:type="pct"/>
            <w:shd w:val="clear" w:color="auto" w:fill="EEECE1" w:themeFill="background2"/>
          </w:tcPr>
          <w:p w14:paraId="7D9763DF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66" w:type="pct"/>
            <w:shd w:val="clear" w:color="auto" w:fill="EEECE1" w:themeFill="background2"/>
          </w:tcPr>
          <w:p w14:paraId="33DF6669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Wymagane informacje</w:t>
            </w:r>
          </w:p>
        </w:tc>
        <w:tc>
          <w:tcPr>
            <w:tcW w:w="2789" w:type="pct"/>
            <w:shd w:val="clear" w:color="auto" w:fill="EEECE1" w:themeFill="background2"/>
          </w:tcPr>
          <w:p w14:paraId="1C68A27D" w14:textId="77777777" w:rsidR="006B4B10" w:rsidRPr="003A602C" w:rsidRDefault="007F0DEF" w:rsidP="00867334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Informacja Wykonawcy</w:t>
            </w:r>
          </w:p>
        </w:tc>
      </w:tr>
      <w:tr w:rsidR="0083291A" w:rsidRPr="003A602C" w14:paraId="3A3A0510" w14:textId="77777777" w:rsidTr="00CD0562">
        <w:trPr>
          <w:cantSplit/>
        </w:trPr>
        <w:tc>
          <w:tcPr>
            <w:tcW w:w="345" w:type="pct"/>
          </w:tcPr>
          <w:p w14:paraId="0C9213EC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66" w:type="pct"/>
          </w:tcPr>
          <w:p w14:paraId="5B130B8A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Nazwa(y) Wykonawcy(ów), </w:t>
            </w:r>
          </w:p>
        </w:tc>
        <w:tc>
          <w:tcPr>
            <w:tcW w:w="2789" w:type="pct"/>
          </w:tcPr>
          <w:p w14:paraId="04AE9FED" w14:textId="77777777" w:rsidR="006B4B10" w:rsidRPr="003A602C" w:rsidRDefault="007F0DEF" w:rsidP="00867334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3291A" w:rsidRPr="003A602C" w14:paraId="0150CD60" w14:textId="77777777" w:rsidTr="00CD0562">
        <w:trPr>
          <w:cantSplit/>
        </w:trPr>
        <w:tc>
          <w:tcPr>
            <w:tcW w:w="345" w:type="pct"/>
          </w:tcPr>
          <w:p w14:paraId="5EE118F8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1866" w:type="pct"/>
          </w:tcPr>
          <w:p w14:paraId="7C87B9FB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NIP: / Regon</w:t>
            </w:r>
          </w:p>
        </w:tc>
        <w:tc>
          <w:tcPr>
            <w:tcW w:w="2789" w:type="pct"/>
          </w:tcPr>
          <w:p w14:paraId="7DF6D4DB" w14:textId="77777777" w:rsidR="006B4B10" w:rsidRPr="003A602C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0562" w:rsidRPr="003A602C" w14:paraId="39DB9AEC" w14:textId="77777777" w:rsidTr="00CD0562">
        <w:trPr>
          <w:cantSplit/>
        </w:trPr>
        <w:tc>
          <w:tcPr>
            <w:tcW w:w="345" w:type="pct"/>
          </w:tcPr>
          <w:p w14:paraId="13E37A13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1866" w:type="pct"/>
          </w:tcPr>
          <w:p w14:paraId="18CEE619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KRS (jeśli dotyczy)</w:t>
            </w:r>
          </w:p>
        </w:tc>
        <w:tc>
          <w:tcPr>
            <w:tcW w:w="2789" w:type="pct"/>
          </w:tcPr>
          <w:p w14:paraId="545E1F17" w14:textId="77777777" w:rsidR="006B4B10" w:rsidRPr="003A602C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0562" w:rsidRPr="003A602C" w14:paraId="2E1ED5AA" w14:textId="77777777" w:rsidTr="00CD0562">
        <w:trPr>
          <w:cantSplit/>
        </w:trPr>
        <w:tc>
          <w:tcPr>
            <w:tcW w:w="345" w:type="pct"/>
          </w:tcPr>
          <w:p w14:paraId="38D31E8F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1866" w:type="pct"/>
          </w:tcPr>
          <w:p w14:paraId="16483117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Adres</w:t>
            </w:r>
          </w:p>
        </w:tc>
        <w:tc>
          <w:tcPr>
            <w:tcW w:w="2789" w:type="pct"/>
          </w:tcPr>
          <w:p w14:paraId="6A8FEA5D" w14:textId="77777777" w:rsidR="006B4B10" w:rsidRPr="003A602C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0562" w:rsidRPr="003A602C" w14:paraId="6C8FCFC5" w14:textId="77777777" w:rsidTr="00CD0562">
        <w:trPr>
          <w:cantSplit/>
        </w:trPr>
        <w:tc>
          <w:tcPr>
            <w:tcW w:w="345" w:type="pct"/>
          </w:tcPr>
          <w:p w14:paraId="6FF7B977" w14:textId="77777777" w:rsidR="00CD0562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1866" w:type="pct"/>
          </w:tcPr>
          <w:p w14:paraId="0D92FADA" w14:textId="77777777" w:rsidR="00CD0562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Dane kontaktowe:</w:t>
            </w:r>
          </w:p>
          <w:p w14:paraId="5AAE30F8" w14:textId="77777777" w:rsidR="00CD0562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Adres e-mail</w:t>
            </w:r>
          </w:p>
          <w:p w14:paraId="679987A3" w14:textId="77777777" w:rsidR="00CD0562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2789" w:type="pct"/>
          </w:tcPr>
          <w:p w14:paraId="07F5677D" w14:textId="77777777" w:rsidR="00CD0562" w:rsidRPr="003A602C" w:rsidRDefault="00CD0562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229C98" w14:textId="77777777" w:rsidR="006B4B10" w:rsidRPr="003A602C" w:rsidRDefault="006B4B10" w:rsidP="00867334">
      <w:pPr>
        <w:spacing w:line="276" w:lineRule="auto"/>
        <w:ind w:right="424"/>
        <w:jc w:val="both"/>
        <w:rPr>
          <w:rFonts w:ascii="Arial" w:hAnsi="Arial" w:cs="Arial"/>
          <w:b/>
          <w:sz w:val="18"/>
          <w:szCs w:val="18"/>
        </w:rPr>
      </w:pPr>
    </w:p>
    <w:p w14:paraId="1EDE5FF1" w14:textId="77777777" w:rsidR="00F933F6" w:rsidRPr="003A602C" w:rsidRDefault="00F933F6" w:rsidP="00867334">
      <w:pPr>
        <w:spacing w:line="276" w:lineRule="auto"/>
        <w:ind w:right="424"/>
        <w:jc w:val="both"/>
        <w:rPr>
          <w:rFonts w:ascii="Arial" w:hAnsi="Arial" w:cs="Arial"/>
          <w:b/>
          <w:sz w:val="18"/>
          <w:szCs w:val="18"/>
        </w:rPr>
      </w:pPr>
    </w:p>
    <w:p w14:paraId="54136988" w14:textId="77777777" w:rsidR="0083291A" w:rsidRPr="003A602C" w:rsidRDefault="0083291A" w:rsidP="00867334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7C45D1A" w14:textId="77777777" w:rsidR="00CD0562" w:rsidRPr="003A602C" w:rsidRDefault="005058F4" w:rsidP="00867334">
      <w:pPr>
        <w:spacing w:line="276" w:lineRule="auto"/>
        <w:rPr>
          <w:rFonts w:ascii="Arial" w:hAnsi="Arial" w:cs="Arial"/>
          <w:color w:val="C00000"/>
          <w:sz w:val="18"/>
          <w:szCs w:val="18"/>
        </w:rPr>
      </w:pPr>
      <w:r w:rsidRPr="003A602C">
        <w:rPr>
          <w:rFonts w:ascii="Arial" w:hAnsi="Arial" w:cs="Arial"/>
          <w:color w:val="C00000"/>
          <w:sz w:val="18"/>
          <w:szCs w:val="18"/>
        </w:rPr>
        <w:t>Uwaga 1.! Załącznik do Oferty w rozumieniu warunków ogólnych FIDIC oraz Załącznik do Oferty stanowi zestawienie wybranych warunków szczególnych Kontraktu.</w:t>
      </w:r>
    </w:p>
    <w:p w14:paraId="133467FE" w14:textId="77777777" w:rsidR="006B4B10" w:rsidRPr="003A602C" w:rsidRDefault="005058F4" w:rsidP="00867334">
      <w:pPr>
        <w:spacing w:line="276" w:lineRule="auto"/>
        <w:rPr>
          <w:rFonts w:ascii="Arial" w:hAnsi="Arial" w:cs="Arial"/>
          <w:color w:val="C00000"/>
          <w:sz w:val="18"/>
          <w:szCs w:val="18"/>
        </w:rPr>
      </w:pPr>
      <w:r w:rsidRPr="003A602C">
        <w:rPr>
          <w:rFonts w:ascii="Arial" w:hAnsi="Arial" w:cs="Arial"/>
          <w:color w:val="C00000"/>
          <w:sz w:val="18"/>
          <w:szCs w:val="18"/>
        </w:rPr>
        <w:t>UWAGA 2: Informacje muszą być uzupełnione przez Wykonawcę z wyjątkiem tych elementów, dla których wstawił swoje elementy Zamawiający</w:t>
      </w:r>
    </w:p>
    <w:p w14:paraId="5C8641EE" w14:textId="77777777" w:rsidR="006B4B10" w:rsidRPr="003A602C" w:rsidRDefault="006B4B10" w:rsidP="00867334">
      <w:pPr>
        <w:spacing w:line="276" w:lineRule="auto"/>
        <w:rPr>
          <w:rFonts w:ascii="Arial" w:hAnsi="Arial" w:cs="Arial"/>
          <w:sz w:val="18"/>
          <w:szCs w:val="18"/>
        </w:rPr>
      </w:pPr>
    </w:p>
    <w:p w14:paraId="259C2C51" w14:textId="77777777" w:rsidR="00F264E8" w:rsidRPr="003A602C" w:rsidRDefault="007F0DEF" w:rsidP="00867334">
      <w:pPr>
        <w:spacing w:line="276" w:lineRule="auto"/>
        <w:jc w:val="both"/>
        <w:rPr>
          <w:rFonts w:ascii="Arial" w:hAnsi="Arial" w:cs="Arial"/>
          <w:color w:val="C00000"/>
          <w:sz w:val="18"/>
          <w:szCs w:val="18"/>
        </w:rPr>
      </w:pPr>
      <w:r w:rsidRPr="003A602C">
        <w:rPr>
          <w:rFonts w:ascii="Arial" w:hAnsi="Arial" w:cs="Arial"/>
          <w:color w:val="C00000"/>
          <w:sz w:val="18"/>
          <w:szCs w:val="18"/>
        </w:rPr>
        <w:t>* Do uzupełnienia są pola na szarym tle.</w:t>
      </w:r>
    </w:p>
    <w:p w14:paraId="735CE5A1" w14:textId="77777777" w:rsidR="0083291A" w:rsidRPr="003A602C" w:rsidRDefault="0083291A" w:rsidP="00867334">
      <w:pPr>
        <w:pStyle w:val="normaltableau"/>
        <w:spacing w:before="0" w:after="0" w:line="276" w:lineRule="auto"/>
        <w:ind w:left="2268"/>
        <w:rPr>
          <w:rFonts w:ascii="Arial" w:hAnsi="Arial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07"/>
        <w:gridCol w:w="1405"/>
        <w:gridCol w:w="6940"/>
      </w:tblGrid>
      <w:tr w:rsidR="00F32D0C" w:rsidRPr="003A602C" w14:paraId="1969C0B0" w14:textId="77777777" w:rsidTr="00867334">
        <w:trPr>
          <w:cantSplit/>
          <w:trHeight w:val="879"/>
          <w:tblHeader/>
          <w:jc w:val="center"/>
        </w:trPr>
        <w:tc>
          <w:tcPr>
            <w:tcW w:w="821" w:type="pct"/>
            <w:shd w:val="clear" w:color="auto" w:fill="DAEEF3" w:themeFill="accent5" w:themeFillTint="33"/>
          </w:tcPr>
          <w:p w14:paraId="4DE25942" w14:textId="77777777" w:rsidR="00F32D0C" w:rsidRPr="003A602C" w:rsidRDefault="00CC35D4" w:rsidP="009B5B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</w:tc>
        <w:tc>
          <w:tcPr>
            <w:tcW w:w="601" w:type="pct"/>
            <w:shd w:val="clear" w:color="auto" w:fill="DAEEF3" w:themeFill="accent5" w:themeFillTint="33"/>
          </w:tcPr>
          <w:p w14:paraId="7F8717E8" w14:textId="77777777" w:rsidR="00F32D0C" w:rsidRPr="003A602C" w:rsidRDefault="00F32D0C" w:rsidP="009B5B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Klauzule Warunków Ogólnych Kontraktu lub Warunków Szczególnych</w:t>
            </w:r>
          </w:p>
        </w:tc>
        <w:tc>
          <w:tcPr>
            <w:tcW w:w="3578" w:type="pct"/>
            <w:shd w:val="clear" w:color="auto" w:fill="DAEEF3" w:themeFill="accent5" w:themeFillTint="33"/>
          </w:tcPr>
          <w:p w14:paraId="7CAD24CD" w14:textId="77777777" w:rsidR="00F32D0C" w:rsidRPr="003A602C" w:rsidRDefault="00CC35D4" w:rsidP="009B5B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Dane</w:t>
            </w:r>
          </w:p>
        </w:tc>
      </w:tr>
      <w:tr w:rsidR="00F32D0C" w:rsidRPr="003A602C" w14:paraId="3292E6ED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0911EF4A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601" w:type="pct"/>
            <w:vAlign w:val="center"/>
          </w:tcPr>
          <w:p w14:paraId="1015AB13" w14:textId="77777777" w:rsidR="00F32D0C" w:rsidRPr="003A602C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1.1.2.2 &amp; 1.3</w:t>
            </w:r>
          </w:p>
        </w:tc>
        <w:tc>
          <w:tcPr>
            <w:tcW w:w="3578" w:type="pct"/>
            <w:vAlign w:val="center"/>
          </w:tcPr>
          <w:p w14:paraId="2A50AC6E" w14:textId="77777777" w:rsidR="00F933F6" w:rsidRPr="003A602C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A602C">
              <w:rPr>
                <w:rFonts w:ascii="Arial" w:hAnsi="Arial" w:cs="Arial"/>
                <w:caps/>
                <w:sz w:val="18"/>
                <w:szCs w:val="18"/>
              </w:rPr>
              <w:t>Zakład Usług Wodno-Ściekowych Sp. z o. o.</w:t>
            </w:r>
          </w:p>
          <w:p w14:paraId="73F3B819" w14:textId="77777777" w:rsidR="00F933F6" w:rsidRPr="003A602C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A602C">
              <w:rPr>
                <w:rFonts w:ascii="Arial" w:hAnsi="Arial" w:cs="Arial"/>
                <w:caps/>
                <w:sz w:val="18"/>
                <w:szCs w:val="18"/>
              </w:rPr>
              <w:t>w Słubicach</w:t>
            </w:r>
          </w:p>
          <w:p w14:paraId="67EA8380" w14:textId="77777777" w:rsidR="00F933F6" w:rsidRPr="003A602C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A602C">
              <w:rPr>
                <w:rFonts w:ascii="Arial" w:hAnsi="Arial" w:cs="Arial"/>
                <w:caps/>
                <w:sz w:val="18"/>
                <w:szCs w:val="18"/>
              </w:rPr>
              <w:t>ul. Krótka 9, 69-100 Słubice</w:t>
            </w:r>
          </w:p>
          <w:p w14:paraId="2AC3BF69" w14:textId="77777777" w:rsidR="0069737B" w:rsidRPr="003A602C" w:rsidRDefault="00CE3D3D" w:rsidP="009B5B65">
            <w:pPr>
              <w:pStyle w:val="Bezodstpw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hyperlink r:id="rId9" w:history="1">
              <w:r w:rsidR="00F933F6" w:rsidRPr="003A602C">
                <w:rPr>
                  <w:rStyle w:val="Hipercze"/>
                  <w:rFonts w:ascii="Arial" w:hAnsi="Arial" w:cs="Arial"/>
                  <w:b/>
                  <w:bCs/>
                  <w:caps/>
                  <w:sz w:val="18"/>
                  <w:szCs w:val="18"/>
                </w:rPr>
                <w:t>www.zuws.pl</w:t>
              </w:r>
            </w:hyperlink>
            <w:r w:rsidR="00F933F6" w:rsidRPr="003A602C">
              <w:rPr>
                <w:rFonts w:ascii="Arial" w:hAnsi="Arial" w:cs="Arial"/>
                <w:caps/>
                <w:sz w:val="18"/>
                <w:szCs w:val="18"/>
              </w:rPr>
              <w:t>, REGON: 210516385, NIP: 598 00 03 799</w:t>
            </w:r>
            <w:r w:rsidR="00F933F6" w:rsidRPr="003A602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32D0C" w:rsidRPr="003A602C" w14:paraId="0C943895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48B1EC63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Nazwa i adres Wykonawcy</w:t>
            </w:r>
          </w:p>
        </w:tc>
        <w:tc>
          <w:tcPr>
            <w:tcW w:w="601" w:type="pct"/>
            <w:vAlign w:val="center"/>
          </w:tcPr>
          <w:p w14:paraId="6CC66715" w14:textId="77777777" w:rsidR="00F32D0C" w:rsidRPr="003A602C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1.1.2.3 &amp; 1.3</w:t>
            </w:r>
          </w:p>
        </w:tc>
        <w:tc>
          <w:tcPr>
            <w:tcW w:w="3578" w:type="pct"/>
            <w:shd w:val="clear" w:color="auto" w:fill="EEECE1" w:themeFill="background2"/>
            <w:vAlign w:val="center"/>
          </w:tcPr>
          <w:p w14:paraId="126D77A9" w14:textId="77777777" w:rsidR="00F32D0C" w:rsidRPr="003A602C" w:rsidRDefault="00F32D0C" w:rsidP="009B5B65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  <w:r w:rsidRPr="003A602C">
              <w:rPr>
                <w:rFonts w:cs="Arial"/>
                <w:sz w:val="18"/>
                <w:szCs w:val="18"/>
              </w:rPr>
              <w:t>.................................................................</w:t>
            </w:r>
            <w:r w:rsidR="00F264E8" w:rsidRPr="003A602C">
              <w:rPr>
                <w:rFonts w:cs="Arial"/>
                <w:sz w:val="18"/>
                <w:szCs w:val="18"/>
              </w:rPr>
              <w:t>.................................</w:t>
            </w:r>
          </w:p>
        </w:tc>
      </w:tr>
      <w:tr w:rsidR="00F32D0C" w:rsidRPr="003A602C" w14:paraId="69567D00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2D4B69B9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>Nazwa i adres Inżyniera</w:t>
            </w:r>
          </w:p>
        </w:tc>
        <w:tc>
          <w:tcPr>
            <w:tcW w:w="601" w:type="pct"/>
            <w:vAlign w:val="center"/>
          </w:tcPr>
          <w:p w14:paraId="41239D86" w14:textId="77777777" w:rsidR="00F32D0C" w:rsidRPr="003A602C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1.1.2.4 &amp; 1.3</w:t>
            </w:r>
          </w:p>
        </w:tc>
        <w:tc>
          <w:tcPr>
            <w:tcW w:w="3578" w:type="pct"/>
            <w:vAlign w:val="center"/>
          </w:tcPr>
          <w:p w14:paraId="0E5EE3D1" w14:textId="77777777" w:rsidR="0069737B" w:rsidRPr="003A602C" w:rsidRDefault="00F933F6" w:rsidP="009B5B65">
            <w:pPr>
              <w:pStyle w:val="Bezodstpw"/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Zachodnie Centrum Konsultingowe EURO INWEST Sp. </w:t>
            </w:r>
            <w:r w:rsidR="00867334" w:rsidRPr="003A602C">
              <w:rPr>
                <w:rFonts w:ascii="Arial" w:hAnsi="Arial" w:cs="Arial"/>
                <w:sz w:val="18"/>
                <w:szCs w:val="18"/>
              </w:rPr>
              <w:t>z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o.o. 66-400 Gorzów </w:t>
            </w:r>
            <w:r w:rsidR="00867334" w:rsidRPr="003A602C">
              <w:rPr>
                <w:rFonts w:ascii="Arial" w:hAnsi="Arial" w:cs="Arial"/>
                <w:sz w:val="18"/>
                <w:szCs w:val="18"/>
              </w:rPr>
              <w:t>Wlkp.</w:t>
            </w:r>
            <w:r w:rsidRPr="003A602C">
              <w:rPr>
                <w:rFonts w:ascii="Arial" w:hAnsi="Arial" w:cs="Arial"/>
                <w:sz w:val="18"/>
                <w:szCs w:val="18"/>
              </w:rPr>
              <w:t>, ul. Sikorskiego 111/307</w:t>
            </w:r>
          </w:p>
        </w:tc>
      </w:tr>
      <w:tr w:rsidR="00F32D0C" w:rsidRPr="003A602C" w14:paraId="4884BF69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2"/>
          <w:jc w:val="center"/>
        </w:trPr>
        <w:tc>
          <w:tcPr>
            <w:tcW w:w="821" w:type="pct"/>
            <w:vAlign w:val="center"/>
          </w:tcPr>
          <w:p w14:paraId="36064C0E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Czas na </w:t>
            </w:r>
            <w:r w:rsidR="00F264E8" w:rsidRPr="003A602C"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r w:rsidRPr="003A602C">
              <w:rPr>
                <w:rFonts w:ascii="Arial" w:hAnsi="Arial" w:cs="Arial"/>
                <w:sz w:val="18"/>
                <w:szCs w:val="18"/>
              </w:rPr>
              <w:t>Robót</w:t>
            </w:r>
          </w:p>
        </w:tc>
        <w:tc>
          <w:tcPr>
            <w:tcW w:w="601" w:type="pct"/>
            <w:vAlign w:val="center"/>
          </w:tcPr>
          <w:p w14:paraId="2AA093DF" w14:textId="77777777" w:rsidR="00F32D0C" w:rsidRPr="003A602C" w:rsidRDefault="00F32D0C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1.1.3.3</w:t>
            </w:r>
          </w:p>
        </w:tc>
        <w:tc>
          <w:tcPr>
            <w:tcW w:w="3578" w:type="pct"/>
            <w:vAlign w:val="center"/>
          </w:tcPr>
          <w:p w14:paraId="6D55A33B" w14:textId="77777777" w:rsidR="00F933F6" w:rsidRPr="003A602C" w:rsidRDefault="00F264E8" w:rsidP="009B5B65">
            <w:pPr>
              <w:pStyle w:val="Akapitzlist"/>
              <w:numPr>
                <w:ilvl w:val="0"/>
                <w:numId w:val="6"/>
              </w:numPr>
              <w:ind w:left="509" w:hanging="425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A602C">
              <w:rPr>
                <w:rFonts w:ascii="Arial" w:hAnsi="Arial" w:cs="Arial"/>
                <w:iCs/>
                <w:sz w:val="18"/>
                <w:szCs w:val="18"/>
              </w:rPr>
              <w:t>Zakończenie robót</w:t>
            </w:r>
            <w:r w:rsidR="005058F4" w:rsidRPr="003A602C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: </w:t>
            </w:r>
            <w:r w:rsidR="00F933F6" w:rsidRPr="003A602C">
              <w:rPr>
                <w:rFonts w:ascii="Arial" w:hAnsi="Arial" w:cs="Arial"/>
                <w:iCs/>
                <w:color w:val="FF0000"/>
                <w:sz w:val="18"/>
                <w:szCs w:val="18"/>
              </w:rPr>
              <w:t>:</w:t>
            </w:r>
          </w:p>
          <w:p w14:paraId="09640ABE" w14:textId="77777777" w:rsidR="00192E8D" w:rsidRPr="003A602C" w:rsidRDefault="00395B1C" w:rsidP="009B5B65">
            <w:pPr>
              <w:pStyle w:val="Bezodstpw"/>
              <w:numPr>
                <w:ilvl w:val="0"/>
                <w:numId w:val="19"/>
              </w:numPr>
              <w:shd w:val="clear" w:color="auto" w:fill="DDD9C3" w:themeFill="background2" w:themeFillShade="E6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002060"/>
                <w:sz w:val="18"/>
                <w:szCs w:val="18"/>
              </w:rPr>
              <w:t xml:space="preserve">Czas na ukończenie robót </w:t>
            </w:r>
            <w:r w:rsidR="003F3DB5">
              <w:rPr>
                <w:rFonts w:ascii="Arial" w:hAnsi="Arial" w:cs="Arial"/>
                <w:color w:val="002060"/>
                <w:sz w:val="18"/>
                <w:szCs w:val="18"/>
              </w:rPr>
              <w:t xml:space="preserve">13 </w:t>
            </w:r>
            <w:r w:rsidRPr="003A602C">
              <w:rPr>
                <w:rFonts w:ascii="Arial" w:hAnsi="Arial" w:cs="Arial"/>
                <w:color w:val="002060"/>
                <w:sz w:val="18"/>
                <w:szCs w:val="18"/>
              </w:rPr>
              <w:t>miesięcy od popisania umowy</w:t>
            </w:r>
          </w:p>
          <w:p w14:paraId="5DFCDBAF" w14:textId="77777777" w:rsidR="0069737B" w:rsidRPr="003A602C" w:rsidRDefault="00395B1C" w:rsidP="009B5B65">
            <w:pPr>
              <w:pStyle w:val="Bezodstpw"/>
              <w:numPr>
                <w:ilvl w:val="0"/>
                <w:numId w:val="19"/>
              </w:numPr>
              <w:shd w:val="clear" w:color="auto" w:fill="DDD9C3" w:themeFill="background2" w:themeFillShade="E6"/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002060"/>
                <w:sz w:val="18"/>
                <w:szCs w:val="18"/>
              </w:rPr>
              <w:t xml:space="preserve">Czas na Przejęcie Robót (po usunięciu wad i usterek)  </w:t>
            </w:r>
            <w:r w:rsidR="003F3DB5">
              <w:rPr>
                <w:rFonts w:ascii="Arial" w:hAnsi="Arial" w:cs="Arial"/>
                <w:color w:val="002060"/>
                <w:sz w:val="18"/>
                <w:szCs w:val="18"/>
              </w:rPr>
              <w:t xml:space="preserve">15 </w:t>
            </w:r>
            <w:r w:rsidRPr="003A602C">
              <w:rPr>
                <w:rFonts w:ascii="Arial" w:hAnsi="Arial" w:cs="Arial"/>
                <w:color w:val="002060"/>
                <w:sz w:val="18"/>
                <w:szCs w:val="18"/>
              </w:rPr>
              <w:t>miesięcy  od popisania umowy</w:t>
            </w:r>
          </w:p>
        </w:tc>
      </w:tr>
      <w:tr w:rsidR="00F32D0C" w:rsidRPr="003A602C" w14:paraId="295B210A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27AFFC22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Okres Zgłaszania Wad</w:t>
            </w:r>
          </w:p>
        </w:tc>
        <w:tc>
          <w:tcPr>
            <w:tcW w:w="601" w:type="pct"/>
            <w:vAlign w:val="center"/>
          </w:tcPr>
          <w:p w14:paraId="256867CA" w14:textId="77777777" w:rsidR="00F32D0C" w:rsidRPr="003A602C" w:rsidRDefault="00F32D0C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1.1.3.7</w:t>
            </w:r>
          </w:p>
        </w:tc>
        <w:tc>
          <w:tcPr>
            <w:tcW w:w="3578" w:type="pct"/>
            <w:vAlign w:val="center"/>
          </w:tcPr>
          <w:p w14:paraId="31627624" w14:textId="77777777" w:rsidR="006F6798" w:rsidRPr="003A602C" w:rsidRDefault="006F6798" w:rsidP="009B5B65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Okres Zgłaszania Wad rozpoczyna się z dniem podpisania przez Zamawiającego Świadectwa Przejęcia, a kończy z upływem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 xml:space="preserve">gwarancji w momencie wystawienia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Świadectwa </w:t>
            </w:r>
            <w:r w:rsidR="00696E2E" w:rsidRPr="003A602C">
              <w:rPr>
                <w:rFonts w:ascii="Arial" w:hAnsi="Arial" w:cs="Arial"/>
                <w:sz w:val="18"/>
                <w:szCs w:val="18"/>
              </w:rPr>
              <w:t>Wykonania</w:t>
            </w:r>
          </w:p>
        </w:tc>
      </w:tr>
      <w:tr w:rsidR="00606D4B" w:rsidRPr="003A602C" w14:paraId="13C7BCED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280F4DEF" w14:textId="77777777" w:rsidR="00606D4B" w:rsidRPr="003A602C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="00696E2E" w:rsidRPr="003A602C">
              <w:rPr>
                <w:rFonts w:ascii="Arial" w:hAnsi="Arial" w:cs="Arial"/>
                <w:sz w:val="18"/>
                <w:szCs w:val="18"/>
              </w:rPr>
              <w:t>Rękojmi</w:t>
            </w:r>
          </w:p>
        </w:tc>
        <w:tc>
          <w:tcPr>
            <w:tcW w:w="601" w:type="pct"/>
            <w:vAlign w:val="center"/>
          </w:tcPr>
          <w:p w14:paraId="6E2D805F" w14:textId="77777777" w:rsidR="00606D4B" w:rsidRPr="003A602C" w:rsidRDefault="00CD0562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</w:rPr>
              <w:t>Rozdział 10 Kontraktu FIDIC</w:t>
            </w:r>
          </w:p>
        </w:tc>
        <w:tc>
          <w:tcPr>
            <w:tcW w:w="3578" w:type="pct"/>
            <w:vAlign w:val="center"/>
          </w:tcPr>
          <w:p w14:paraId="62A29F57" w14:textId="77777777" w:rsidR="006B4B10" w:rsidRPr="003A602C" w:rsidRDefault="00606D4B" w:rsidP="009B5B65">
            <w:pPr>
              <w:tabs>
                <w:tab w:val="left" w:pos="-10"/>
              </w:tabs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Rozpoczyna się dzień po wystawieniu Świadectwa </w:t>
            </w:r>
            <w:r w:rsidR="00696E2E" w:rsidRPr="003A602C">
              <w:rPr>
                <w:rFonts w:ascii="Arial" w:hAnsi="Arial" w:cs="Arial"/>
                <w:sz w:val="18"/>
                <w:szCs w:val="18"/>
              </w:rPr>
              <w:t>Przejęcia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>-Rozdział 10. Przejęcie przez Zamawiającego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6E2E" w:rsidRPr="003A602C">
              <w:rPr>
                <w:rFonts w:ascii="Arial" w:hAnsi="Arial" w:cs="Arial"/>
                <w:sz w:val="18"/>
                <w:szCs w:val="18"/>
              </w:rPr>
              <w:t>a kończy wraz z upływem okresu gwarancji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1744" w:rsidRPr="003A602C">
              <w:rPr>
                <w:rFonts w:ascii="Arial" w:hAnsi="Arial" w:cs="Arial"/>
                <w:sz w:val="18"/>
                <w:szCs w:val="18"/>
              </w:rPr>
              <w:t>- wynoszącą 5 lat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06D4B" w:rsidRPr="003A602C" w14:paraId="160A525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70A78E49" w14:textId="77777777" w:rsidR="00606D4B" w:rsidRPr="003A602C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Okres gwarancji</w:t>
            </w:r>
          </w:p>
        </w:tc>
        <w:tc>
          <w:tcPr>
            <w:tcW w:w="601" w:type="pct"/>
            <w:vAlign w:val="center"/>
          </w:tcPr>
          <w:p w14:paraId="670A7D94" w14:textId="77777777" w:rsidR="00606D4B" w:rsidRPr="003A602C" w:rsidRDefault="00606D4B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</w:rPr>
              <w:t>1.1.3.7.2,</w:t>
            </w:r>
          </w:p>
        </w:tc>
        <w:tc>
          <w:tcPr>
            <w:tcW w:w="3578" w:type="pct"/>
            <w:vAlign w:val="center"/>
          </w:tcPr>
          <w:p w14:paraId="188088BC" w14:textId="77777777" w:rsidR="0069737B" w:rsidRPr="003A602C" w:rsidRDefault="00606D4B" w:rsidP="00FE54E5">
            <w:pPr>
              <w:pStyle w:val="Default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>Okres, w którym Zamawiający może na podstawie Karty Gwarancyjnej dochodzić uprawnień z tytułu gwarancji za wady w Robotach oraz dostarczonych maszynach, urządzeniach i wyposażeniu</w:t>
            </w:r>
            <w:r w:rsidR="000E77DD" w:rsidRPr="003A602C">
              <w:rPr>
                <w:sz w:val="18"/>
                <w:szCs w:val="18"/>
              </w:rPr>
              <w:t xml:space="preserve"> ujawnione w </w:t>
            </w:r>
            <w:r w:rsidR="00395B1C" w:rsidRPr="003A602C">
              <w:rPr>
                <w:color w:val="C00000"/>
                <w:sz w:val="18"/>
                <w:szCs w:val="18"/>
              </w:rPr>
              <w:t xml:space="preserve">okresie gwarancji. Okres ten wynosi </w:t>
            </w:r>
            <w:r w:rsidR="00395B1C" w:rsidRPr="003A602C">
              <w:rPr>
                <w:b/>
                <w:color w:val="C00000"/>
                <w:sz w:val="18"/>
                <w:szCs w:val="18"/>
              </w:rPr>
              <w:t>5 lat</w:t>
            </w:r>
            <w:r w:rsidR="00395B1C" w:rsidRPr="003A602C">
              <w:rPr>
                <w:color w:val="C00000"/>
                <w:sz w:val="18"/>
                <w:szCs w:val="18"/>
              </w:rPr>
              <w:t xml:space="preserve"> a </w:t>
            </w:r>
            <w:r w:rsidRPr="003A602C">
              <w:rPr>
                <w:sz w:val="18"/>
                <w:szCs w:val="18"/>
              </w:rPr>
              <w:t xml:space="preserve">Początek okresu gwarancji i rękojmi za wady rozpoczyna się dzień po dniu wydania Świadectwa </w:t>
            </w:r>
            <w:r w:rsidR="00CD0562" w:rsidRPr="003A602C">
              <w:rPr>
                <w:sz w:val="18"/>
                <w:szCs w:val="18"/>
              </w:rPr>
              <w:t>Przejęcia.</w:t>
            </w:r>
            <w:r w:rsidR="00696E2E" w:rsidRPr="003A602C">
              <w:rPr>
                <w:sz w:val="18"/>
                <w:szCs w:val="18"/>
              </w:rPr>
              <w:t xml:space="preserve"> Koniec okresu gwarancji i rękojmi zostanie potwierdzony Świadectwem Wykonania</w:t>
            </w:r>
            <w:r w:rsidR="007C6F18" w:rsidRPr="003A602C">
              <w:rPr>
                <w:sz w:val="18"/>
                <w:szCs w:val="18"/>
              </w:rPr>
              <w:t>.</w:t>
            </w:r>
          </w:p>
        </w:tc>
      </w:tr>
      <w:tr w:rsidR="00F32D0C" w:rsidRPr="003A602C" w14:paraId="3F838EB4" w14:textId="77777777" w:rsidTr="00867334">
        <w:tblPrEx>
          <w:tblCellMar>
            <w:left w:w="108" w:type="dxa"/>
            <w:right w:w="108" w:type="dxa"/>
          </w:tblCellMar>
        </w:tblPrEx>
        <w:trPr>
          <w:trHeight w:val="834"/>
          <w:jc w:val="center"/>
        </w:trPr>
        <w:tc>
          <w:tcPr>
            <w:tcW w:w="821" w:type="pct"/>
            <w:vAlign w:val="center"/>
          </w:tcPr>
          <w:p w14:paraId="2505965E" w14:textId="77777777" w:rsidR="00606D4B" w:rsidRPr="003A602C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Przepływ informacji</w:t>
            </w:r>
          </w:p>
          <w:p w14:paraId="626667EB" w14:textId="77777777" w:rsidR="00F32D0C" w:rsidRPr="003A602C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(</w:t>
            </w:r>
            <w:r w:rsidR="005B0689" w:rsidRPr="003A602C">
              <w:rPr>
                <w:rFonts w:ascii="Arial" w:hAnsi="Arial" w:cs="Arial"/>
                <w:sz w:val="18"/>
                <w:szCs w:val="18"/>
              </w:rPr>
              <w:t>S</w:t>
            </w:r>
            <w:r w:rsidR="00F32D0C" w:rsidRPr="003A602C">
              <w:rPr>
                <w:rFonts w:ascii="Arial" w:hAnsi="Arial" w:cs="Arial"/>
                <w:sz w:val="18"/>
                <w:szCs w:val="18"/>
              </w:rPr>
              <w:t>ystem</w:t>
            </w:r>
            <w:r w:rsidR="005B0689" w:rsidRPr="003A602C">
              <w:rPr>
                <w:rFonts w:ascii="Arial" w:hAnsi="Arial" w:cs="Arial"/>
                <w:sz w:val="18"/>
                <w:szCs w:val="18"/>
              </w:rPr>
              <w:t xml:space="preserve"> transmisji elektronicznej Zamawiający, Wykonawca, Inżynier</w:t>
            </w:r>
            <w:r w:rsidRPr="003A602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01" w:type="pct"/>
            <w:vAlign w:val="center"/>
          </w:tcPr>
          <w:p w14:paraId="0DAD7F10" w14:textId="77777777" w:rsidR="00F32D0C" w:rsidRPr="003A602C" w:rsidRDefault="00F32D0C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1.3</w:t>
            </w:r>
          </w:p>
        </w:tc>
        <w:tc>
          <w:tcPr>
            <w:tcW w:w="3578" w:type="pct"/>
            <w:vAlign w:val="center"/>
          </w:tcPr>
          <w:p w14:paraId="53F03060" w14:textId="77777777" w:rsidR="005B0689" w:rsidRPr="003A602C" w:rsidRDefault="005B0689" w:rsidP="009B5B65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A602C">
              <w:rPr>
                <w:rFonts w:ascii="Arial" w:hAnsi="Arial" w:cs="Arial"/>
                <w:bCs/>
                <w:sz w:val="18"/>
                <w:szCs w:val="18"/>
              </w:rPr>
              <w:t>faks i email należy potwierdzić na piśmie</w:t>
            </w:r>
            <w:r w:rsidR="0066053E" w:rsidRPr="003A602C">
              <w:rPr>
                <w:rFonts w:ascii="Arial" w:hAnsi="Arial" w:cs="Arial"/>
                <w:bCs/>
                <w:sz w:val="18"/>
                <w:szCs w:val="18"/>
              </w:rPr>
              <w:t xml:space="preserve"> na żądanie drugiej strony</w:t>
            </w:r>
          </w:p>
          <w:p w14:paraId="407CA91E" w14:textId="77777777" w:rsidR="005B0689" w:rsidRPr="003A602C" w:rsidRDefault="005B0689" w:rsidP="009B5B6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  <w:u w:val="single"/>
              </w:rPr>
              <w:t>Zamawiający</w:t>
            </w:r>
            <w:r w:rsidR="00DD6E55" w:rsidRPr="003A602C">
              <w:rPr>
                <w:rFonts w:ascii="Arial" w:hAnsi="Arial" w:cs="Arial"/>
                <w:sz w:val="18"/>
                <w:szCs w:val="18"/>
                <w:u w:val="single"/>
              </w:rPr>
              <w:t>, Inżynier</w:t>
            </w:r>
            <w:r w:rsidRPr="003A602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970C05D" w14:textId="77777777" w:rsidR="005B0689" w:rsidRPr="003A602C" w:rsidRDefault="005B0689" w:rsidP="009B5B6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faks: </w:t>
            </w:r>
            <w:r w:rsidRPr="003A602C">
              <w:rPr>
                <w:rFonts w:ascii="Arial" w:hAnsi="Arial" w:cs="Arial"/>
                <w:i/>
                <w:sz w:val="18"/>
                <w:szCs w:val="18"/>
              </w:rPr>
              <w:t>zostanie wpisane przed podpisaniem kontraktu</w:t>
            </w:r>
          </w:p>
          <w:p w14:paraId="459068CE" w14:textId="77777777" w:rsidR="00606D4B" w:rsidRPr="003A602C" w:rsidRDefault="005B0689" w:rsidP="009B5B65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 w:rsidRPr="003A602C">
              <w:rPr>
                <w:rFonts w:ascii="Arial" w:hAnsi="Arial" w:cs="Arial"/>
                <w:i/>
                <w:sz w:val="18"/>
                <w:szCs w:val="18"/>
              </w:rPr>
              <w:t>zostanie wpisane przed podpisaniem kontraktu</w:t>
            </w:r>
          </w:p>
          <w:p w14:paraId="50118971" w14:textId="77777777" w:rsidR="00727C5C" w:rsidRPr="003A602C" w:rsidRDefault="005B0689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  <w:u w:val="single"/>
              </w:rPr>
              <w:t>Wykonawca</w:t>
            </w:r>
            <w:r w:rsidRPr="003A602C">
              <w:rPr>
                <w:rFonts w:ascii="Arial" w:hAnsi="Arial" w:cs="Arial"/>
                <w:sz w:val="18"/>
                <w:szCs w:val="18"/>
              </w:rPr>
              <w:t>:</w:t>
            </w:r>
            <w:r w:rsidRPr="003A602C">
              <w:rPr>
                <w:rFonts w:ascii="Arial" w:hAnsi="Arial" w:cs="Arial"/>
                <w:sz w:val="18"/>
                <w:szCs w:val="18"/>
              </w:rPr>
              <w:br/>
            </w:r>
            <w:r w:rsidR="007F0DEF" w:rsidRPr="003A602C">
              <w:rPr>
                <w:rFonts w:ascii="Arial" w:hAnsi="Arial" w:cs="Arial"/>
                <w:color w:val="C00000"/>
                <w:sz w:val="18"/>
                <w:szCs w:val="18"/>
              </w:rPr>
              <w:t>telefon:..................</w:t>
            </w:r>
          </w:p>
          <w:p w14:paraId="4BD28F63" w14:textId="77777777" w:rsidR="005B0689" w:rsidRPr="003A602C" w:rsidRDefault="007F0DEF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faks: ......................, </w:t>
            </w:r>
          </w:p>
          <w:p w14:paraId="67D3B2E9" w14:textId="77777777" w:rsidR="00F32D0C" w:rsidRPr="003A602C" w:rsidRDefault="007F0DEF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>e-mail: ..................</w:t>
            </w:r>
          </w:p>
        </w:tc>
      </w:tr>
      <w:tr w:rsidR="00767843" w:rsidRPr="003A602C" w14:paraId="2BBF269A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494"/>
          <w:jc w:val="center"/>
        </w:trPr>
        <w:tc>
          <w:tcPr>
            <w:tcW w:w="821" w:type="pct"/>
            <w:vAlign w:val="center"/>
          </w:tcPr>
          <w:p w14:paraId="3506651C" w14:textId="77777777" w:rsidR="00767843" w:rsidRPr="003A602C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Prawo rządzące Kontraktem </w:t>
            </w:r>
          </w:p>
        </w:tc>
        <w:tc>
          <w:tcPr>
            <w:tcW w:w="601" w:type="pct"/>
            <w:vAlign w:val="center"/>
          </w:tcPr>
          <w:p w14:paraId="5161B538" w14:textId="77777777" w:rsidR="00767843" w:rsidRPr="003A602C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2C71FB37" w14:textId="77777777" w:rsidR="00767843" w:rsidRPr="003A602C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Prawo Rzeczpospolitej Polskiej</w:t>
            </w:r>
          </w:p>
        </w:tc>
      </w:tr>
      <w:tr w:rsidR="00767843" w:rsidRPr="003A602C" w14:paraId="1E11DD7A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403"/>
          <w:jc w:val="center"/>
        </w:trPr>
        <w:tc>
          <w:tcPr>
            <w:tcW w:w="821" w:type="pct"/>
            <w:vAlign w:val="center"/>
          </w:tcPr>
          <w:p w14:paraId="5F38AF92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Kontraktu</w:t>
            </w:r>
          </w:p>
        </w:tc>
        <w:tc>
          <w:tcPr>
            <w:tcW w:w="601" w:type="pct"/>
            <w:vAlign w:val="center"/>
          </w:tcPr>
          <w:p w14:paraId="1CB454C6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4D24F683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767843" w:rsidRPr="003A602C" w14:paraId="760F816D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94"/>
          <w:jc w:val="center"/>
        </w:trPr>
        <w:tc>
          <w:tcPr>
            <w:tcW w:w="821" w:type="pct"/>
            <w:vAlign w:val="center"/>
          </w:tcPr>
          <w:p w14:paraId="2E6A5BA7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wiodący</w:t>
            </w:r>
          </w:p>
        </w:tc>
        <w:tc>
          <w:tcPr>
            <w:tcW w:w="601" w:type="pct"/>
            <w:vAlign w:val="center"/>
          </w:tcPr>
          <w:p w14:paraId="414AD056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6E2755B2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767843" w:rsidRPr="003A602C" w14:paraId="652285C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399"/>
          <w:jc w:val="center"/>
        </w:trPr>
        <w:tc>
          <w:tcPr>
            <w:tcW w:w="821" w:type="pct"/>
            <w:vAlign w:val="center"/>
          </w:tcPr>
          <w:p w14:paraId="4BE524DD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Język komunikatów </w:t>
            </w:r>
          </w:p>
        </w:tc>
        <w:tc>
          <w:tcPr>
            <w:tcW w:w="601" w:type="pct"/>
            <w:vAlign w:val="center"/>
          </w:tcPr>
          <w:p w14:paraId="30C40C46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6C17B909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767843" w:rsidRPr="003A602C" w14:paraId="0312F0E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787318B4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Czas przekazania Terenu Budowy</w:t>
            </w:r>
          </w:p>
        </w:tc>
        <w:tc>
          <w:tcPr>
            <w:tcW w:w="601" w:type="pct"/>
            <w:vAlign w:val="center"/>
          </w:tcPr>
          <w:p w14:paraId="7287A36E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2.1</w:t>
            </w:r>
          </w:p>
        </w:tc>
        <w:tc>
          <w:tcPr>
            <w:tcW w:w="3578" w:type="pct"/>
            <w:vAlign w:val="center"/>
          </w:tcPr>
          <w:p w14:paraId="58959E7B" w14:textId="77777777" w:rsidR="006B4B10" w:rsidRPr="003A602C" w:rsidRDefault="00606D4B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1) Przekazanie pierwszego odcinka robót -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miesięcy od podpisania kontraktu FIDIC </w:t>
            </w:r>
          </w:p>
          <w:p w14:paraId="7EEDC7B2" w14:textId="77777777" w:rsidR="0069737B" w:rsidRPr="003A602C" w:rsidRDefault="00606D4B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2) Kolejne odcinki </w:t>
            </w:r>
            <w:r w:rsidR="00767843" w:rsidRPr="003A602C">
              <w:rPr>
                <w:rFonts w:ascii="Arial" w:hAnsi="Arial" w:cs="Arial"/>
                <w:sz w:val="18"/>
                <w:szCs w:val="18"/>
              </w:rPr>
              <w:t xml:space="preserve">sukcesywnie, w części niezbędnej do realizacji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kolejnych </w:t>
            </w:r>
            <w:r w:rsidR="00727C5C" w:rsidRPr="003A602C">
              <w:rPr>
                <w:rFonts w:ascii="Arial" w:hAnsi="Arial" w:cs="Arial"/>
                <w:sz w:val="18"/>
                <w:szCs w:val="18"/>
              </w:rPr>
              <w:t>elementów scalonych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>zgodnie z Harmonogramem i Programem Robót Wykonawcy</w:t>
            </w:r>
          </w:p>
        </w:tc>
      </w:tr>
      <w:tr w:rsidR="00767843" w:rsidRPr="003A602C" w14:paraId="1E4B6481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08B07D80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Kwota zabezpieczenia należytego wykonania Kontraktu</w:t>
            </w:r>
          </w:p>
        </w:tc>
        <w:tc>
          <w:tcPr>
            <w:tcW w:w="601" w:type="pct"/>
            <w:vAlign w:val="center"/>
          </w:tcPr>
          <w:p w14:paraId="75CB5816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4.2</w:t>
            </w:r>
          </w:p>
        </w:tc>
        <w:tc>
          <w:tcPr>
            <w:tcW w:w="3578" w:type="pct"/>
            <w:vAlign w:val="center"/>
          </w:tcPr>
          <w:p w14:paraId="14FF4ADB" w14:textId="77777777" w:rsidR="00C06186" w:rsidRPr="003A602C" w:rsidRDefault="007F0DEF" w:rsidP="009B5B65">
            <w:pPr>
              <w:ind w:left="-71" w:right="-27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10% Zatwierdzonej Kwoty Kontraktowej (włącznie</w:t>
            </w:r>
            <w:r w:rsidRPr="003A602C">
              <w:rPr>
                <w:rFonts w:ascii="Arial" w:hAnsi="Arial" w:cs="Arial"/>
                <w:sz w:val="18"/>
                <w:szCs w:val="18"/>
              </w:rPr>
              <w:br/>
              <w:t>z VAT) - 10%  ceny ofertowej</w:t>
            </w:r>
            <w:r w:rsidRPr="003A602C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  <w:p w14:paraId="20E77C77" w14:textId="77777777" w:rsidR="00770054" w:rsidRPr="003A602C" w:rsidRDefault="007F0DEF" w:rsidP="009B5B65">
            <w:pPr>
              <w:tabs>
                <w:tab w:val="center" w:pos="4536"/>
                <w:tab w:val="right" w:pos="9072"/>
              </w:tabs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, co stanowi kwotę </w:t>
            </w:r>
          </w:p>
          <w:p w14:paraId="6B9EB0F4" w14:textId="77777777" w:rsidR="00770054" w:rsidRPr="003A602C" w:rsidRDefault="007F0DEF" w:rsidP="009B5B65">
            <w:pPr>
              <w:shd w:val="clear" w:color="auto" w:fill="EEECE1" w:themeFill="background2"/>
              <w:tabs>
                <w:tab w:val="center" w:pos="4536"/>
                <w:tab w:val="right" w:pos="9072"/>
              </w:tabs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………………………………..…….. </w:t>
            </w:r>
          </w:p>
          <w:p w14:paraId="41F764AC" w14:textId="77777777" w:rsidR="00770054" w:rsidRPr="003A602C" w:rsidRDefault="007F0DEF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słownie: …………….……………..………………………………..…….. </w:t>
            </w:r>
          </w:p>
          <w:p w14:paraId="4ADDE0D7" w14:textId="77777777" w:rsidR="00770054" w:rsidRPr="003A602C" w:rsidRDefault="00770054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  <w:p w14:paraId="3D078773" w14:textId="77777777" w:rsidR="00770054" w:rsidRPr="003A602C" w:rsidRDefault="007F0DEF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………………………………..…….. </w:t>
            </w:r>
          </w:p>
          <w:p w14:paraId="64E41D78" w14:textId="77777777" w:rsidR="00767843" w:rsidRPr="003A602C" w:rsidDel="00767843" w:rsidRDefault="00767843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(</w:t>
            </w:r>
          </w:p>
        </w:tc>
      </w:tr>
      <w:tr w:rsidR="00767843" w:rsidRPr="003A602C" w14:paraId="351F3535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4D5B6F85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Normalne godziny pracy</w:t>
            </w:r>
          </w:p>
        </w:tc>
        <w:tc>
          <w:tcPr>
            <w:tcW w:w="601" w:type="pct"/>
            <w:vAlign w:val="center"/>
          </w:tcPr>
          <w:p w14:paraId="47D2262B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6.5</w:t>
            </w:r>
          </w:p>
        </w:tc>
        <w:tc>
          <w:tcPr>
            <w:tcW w:w="3578" w:type="pct"/>
            <w:vAlign w:val="center"/>
          </w:tcPr>
          <w:p w14:paraId="640F2C31" w14:textId="77777777" w:rsidR="00C06186" w:rsidRPr="003A602C" w:rsidDel="00767843" w:rsidRDefault="00767843" w:rsidP="009B5B65">
            <w:pPr>
              <w:pStyle w:val="Nagwek4"/>
              <w:numPr>
                <w:ilvl w:val="0"/>
                <w:numId w:val="0"/>
              </w:numPr>
              <w:tabs>
                <w:tab w:val="num" w:pos="0"/>
              </w:tabs>
              <w:spacing w:before="0" w:after="0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Prowadzenie robót w systemie dwuzmianowym, od poniedziałku do piątku, co najmniej w godz. 6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> –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20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EC3017" w:rsidRPr="003A602C">
              <w:rPr>
                <w:rFonts w:ascii="Arial" w:hAnsi="Arial" w:cs="Arial"/>
                <w:b w:val="0"/>
                <w:sz w:val="18"/>
                <w:szCs w:val="18"/>
              </w:rPr>
              <w:t>,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 xml:space="preserve"> a w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okresie od 30 marca do 30 października do 22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EC3017" w:rsidRPr="003A602C">
              <w:rPr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  <w:u w:val="single"/>
              </w:rPr>
              <w:t>w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  <w:u w:val="words"/>
              </w:rPr>
              <w:t>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soboty w godzinach 6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> –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15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  <w:r w:rsidR="00EC3017" w:rsidRPr="003A602C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W razie potrzeb technologicznych, organizacyjnych i w razie zagrożenia nied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>otrzymania terminów określonych w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harmonogramie w dodatk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>owo wydłużonym czasie pracy i w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dni wolne od pracy.</w:t>
            </w:r>
          </w:p>
        </w:tc>
      </w:tr>
      <w:tr w:rsidR="00767843" w:rsidRPr="003A602C" w14:paraId="41FA8D0B" w14:textId="77777777" w:rsidTr="00867334">
        <w:tblPrEx>
          <w:tblCellMar>
            <w:left w:w="108" w:type="dxa"/>
            <w:right w:w="108" w:type="dxa"/>
          </w:tblCellMar>
        </w:tblPrEx>
        <w:trPr>
          <w:trHeight w:val="888"/>
          <w:jc w:val="center"/>
        </w:trPr>
        <w:tc>
          <w:tcPr>
            <w:tcW w:w="821" w:type="pct"/>
            <w:vAlign w:val="center"/>
          </w:tcPr>
          <w:p w14:paraId="09491131" w14:textId="77777777" w:rsidR="00767843" w:rsidRPr="003A602C" w:rsidDel="00767843" w:rsidRDefault="003327A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>Kary za zwłokę</w:t>
            </w:r>
          </w:p>
        </w:tc>
        <w:tc>
          <w:tcPr>
            <w:tcW w:w="601" w:type="pct"/>
            <w:vAlign w:val="center"/>
          </w:tcPr>
          <w:p w14:paraId="53253D98" w14:textId="77777777" w:rsidR="00767843" w:rsidRPr="003A602C" w:rsidDel="00767843" w:rsidRDefault="003327A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3578" w:type="pct"/>
            <w:vAlign w:val="center"/>
          </w:tcPr>
          <w:p w14:paraId="56B8E448" w14:textId="77777777" w:rsidR="0069737B" w:rsidRPr="003A602C" w:rsidRDefault="007F0DEF" w:rsidP="009B5B65">
            <w:pPr>
              <w:pStyle w:val="Akapitzlist"/>
              <w:numPr>
                <w:ilvl w:val="0"/>
                <w:numId w:val="17"/>
              </w:numPr>
              <w:ind w:left="367" w:hanging="3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Wykonawca zapłaci Zamawiającemu następujące kary umowne za zwłokę w realizowaniu określonych obowiązków umownych:</w:t>
            </w:r>
          </w:p>
          <w:p w14:paraId="0E1A85DC" w14:textId="77777777" w:rsidR="001D1744" w:rsidRPr="003A602C" w:rsidRDefault="003327A3" w:rsidP="009B5B65">
            <w:pPr>
              <w:pStyle w:val="Akapitzlist"/>
              <w:numPr>
                <w:ilvl w:val="0"/>
                <w:numId w:val="16"/>
              </w:numPr>
              <w:spacing w:after="200"/>
              <w:ind w:left="9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Opóźnienia w gotowości do Rozpoczęcia Robót z winy Wykonawcy, przekroczenie czasu na rozpoczęcie Robót   wskazanego jako 30 dni od podpisania umowy -w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200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dzień zawinionej  zwłoki;</w:t>
            </w:r>
          </w:p>
          <w:p w14:paraId="2A8E0B63" w14:textId="77777777" w:rsidR="00727C5C" w:rsidRPr="003A602C" w:rsidRDefault="003327A3" w:rsidP="009B5B65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200"/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Opóźnienia w przedkładaniu dokumentów rozliczających poszczególne płatności tj. Raportu o postępie wraz z załącznikami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300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dzień zwłoki ponad termin wskazany w klauzuli 14.3. [Wnioski o Przejściowe Świadectwa Płatności] (14 dni po nabyciu prawa Wykonawcy do wystąpienia z rozliczeniem danego etapu na podstawie „Planu Płatności”);</w:t>
            </w:r>
          </w:p>
          <w:p w14:paraId="26578CDD" w14:textId="77777777" w:rsidR="00727C5C" w:rsidRPr="003A602C" w:rsidRDefault="003327A3" w:rsidP="009B5B65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200"/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Opóźnienia w  dostarczaniu Zabezpieczenia Należytego Wykonania Umowy o którym mowa w klauzuli  4.2.[ Zabezpieczenie Wykonania] ponad termin wskazany przez Zamawiającego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200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dzień zwłoki (kara ta podlega kumulacji z karą za niezapewnienie ciągłości zabezpieczenia za każdy dzień zwłoki  o którym mowa w klauzuli 2.5 Roszczenia Zamawiającego;</w:t>
            </w:r>
          </w:p>
          <w:p w14:paraId="07C3C119" w14:textId="77777777" w:rsidR="00354467" w:rsidRPr="003A602C" w:rsidRDefault="003327A3" w:rsidP="009B5B65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Opóźnienie w wykonaniu Robót w wysokości 0,1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  <w:r w:rsidRPr="003A602C">
              <w:rPr>
                <w:rFonts w:ascii="Arial" w:hAnsi="Arial" w:cs="Arial"/>
                <w:sz w:val="18"/>
                <w:szCs w:val="18"/>
              </w:rPr>
              <w:t>za każdy dzień zwłoki w przekroczeniu Czasu na Ukończenie Robót z Winy Wykonawcy w stosunku do wartości robót netto, chyba że nie wykonany w terminie zakres nie blokuje uzyskanie efektu ekologicznego dla pozostałych odcinków, w tym  takich które zostały   wykonane i odebrane, wówczas podstawą naliczenia kary może być  wartość netto  prac, które poprzez opóźnienie z winy Wykonawcy nie może być uznane za zdatne do przekazania do eksploatacji i uzyskania efektu ekologicznego;</w:t>
            </w:r>
          </w:p>
          <w:p w14:paraId="7BD38224" w14:textId="77777777" w:rsidR="00DB1E0E" w:rsidRPr="003A602C" w:rsidRDefault="003327A3" w:rsidP="009B5B65">
            <w:pPr>
              <w:pStyle w:val="Akapitzlist"/>
              <w:numPr>
                <w:ilvl w:val="0"/>
                <w:numId w:val="21"/>
              </w:numPr>
              <w:ind w:left="9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Za spowodowanie zawinionego  opóźnienia w postępie robót o więcej jak 2 miesiące w stosunku do pierwotnego Harmonogramu Robót. Wówczas Zamawiający naliczy karę za opóźnienie za cały 2 miesięczny okres zwłoki  licząc od wartości całego kontraktu netto. Kara za to opóźnienie jest naliczana za każde 2 miesięczne zawinione opóźnienie i każde kolejne co ma na celu dyscyplinowanie Wykonawcy do zachowania tempa robót systematycznie na etapie realizacji (co ma zapobiec skokowemu realizowaniu prac przez Wykonawcę i ociąganiu się przez większość kontraktu a intensyfikowaniu prac w bardzo krótkim końcowym okresie umowy dla nadrobienia zaległości, co stanowi zagrożenie dla jakości wykonania prac- dlatego za każdy dzień 2 miesięcznego opóźnienia zostanie zaliczona kara 0,05% x wartość netto kontraktu x  60 dni</w:t>
            </w:r>
          </w:p>
          <w:p w14:paraId="7C34A9C4" w14:textId="77777777" w:rsidR="004E74C5" w:rsidRPr="003A602C" w:rsidRDefault="003327A3" w:rsidP="009B5B65">
            <w:pPr>
              <w:pStyle w:val="Akapitzlist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Opóźnienie w usuwaniu usterek stwierdzonych podczas Odbioru Końcowego Robót wskazanych w Protokole Odbioru Końcowego Robót - w wysokości 600 zł za każdy dzień zwłoki ponad termin wyznaczony w niniejszym kontrakcie na usuwanie wad o którym mowa w Załączniku do Oferty;</w:t>
            </w:r>
          </w:p>
          <w:p w14:paraId="0B61CCCD" w14:textId="77777777" w:rsidR="004E74C5" w:rsidRPr="003A602C" w:rsidRDefault="003327A3" w:rsidP="009B5B65">
            <w:pPr>
              <w:pStyle w:val="Akapitzlist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Opóźnienie w usuwaniu wad wykrytych w okresie gwarancji oraz rękojmi za wady  w wysokości 500 zł za każdy dzień zwłoki ponad termin wyznaczony w niniejszym kontrakcie na usuwanie wad w Załączniku 1. KARTA GWARANCYJNA</w:t>
            </w:r>
          </w:p>
        </w:tc>
      </w:tr>
      <w:tr w:rsidR="009246E8" w:rsidRPr="003A602C" w14:paraId="336A3F86" w14:textId="77777777" w:rsidTr="00867334">
        <w:tblPrEx>
          <w:tblCellMar>
            <w:left w:w="108" w:type="dxa"/>
            <w:right w:w="108" w:type="dxa"/>
          </w:tblCellMar>
        </w:tblPrEx>
        <w:trPr>
          <w:trHeight w:val="888"/>
          <w:jc w:val="center"/>
        </w:trPr>
        <w:tc>
          <w:tcPr>
            <w:tcW w:w="821" w:type="pct"/>
            <w:vAlign w:val="center"/>
          </w:tcPr>
          <w:p w14:paraId="4401BE28" w14:textId="77777777" w:rsidR="009246E8" w:rsidRPr="003A602C" w:rsidRDefault="009246E8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Roszczenia Zamawiającego </w:t>
            </w:r>
          </w:p>
          <w:p w14:paraId="11E8D23C" w14:textId="77777777" w:rsidR="009246E8" w:rsidRPr="003A602C" w:rsidRDefault="009246E8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(za nie dotrzymanie warunków umowy przez Wykonawcę)</w:t>
            </w:r>
          </w:p>
        </w:tc>
        <w:tc>
          <w:tcPr>
            <w:tcW w:w="601" w:type="pct"/>
            <w:vAlign w:val="center"/>
          </w:tcPr>
          <w:p w14:paraId="2BD60923" w14:textId="77777777" w:rsidR="009246E8" w:rsidRPr="003A602C" w:rsidRDefault="009246E8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2.5</w:t>
            </w:r>
          </w:p>
        </w:tc>
        <w:tc>
          <w:tcPr>
            <w:tcW w:w="3578" w:type="pct"/>
            <w:vAlign w:val="center"/>
          </w:tcPr>
          <w:p w14:paraId="4D29462D" w14:textId="77777777" w:rsidR="00727C5C" w:rsidRPr="003A602C" w:rsidRDefault="007F0DEF" w:rsidP="009B5B6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Wykonawca zapłaci Zamawiającemu następujące kary umowne w zależności od przypadku:</w:t>
            </w:r>
          </w:p>
          <w:p w14:paraId="43760A9C" w14:textId="77777777" w:rsidR="00727C5C" w:rsidRPr="003A602C" w:rsidRDefault="007F0DEF" w:rsidP="009B5B65">
            <w:pPr>
              <w:pStyle w:val="Akapitzlist"/>
              <w:numPr>
                <w:ilvl w:val="0"/>
                <w:numId w:val="15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Przekazywanie jakichkolwiek Dokumentów  Wykonawcy zawierających istotne błędy merytoryczne np. zdradzające ślady opracowywania dokumentu przez osobę niedoświadczoną i/lub  nie posiadającą odpowiednich kwalifikacji, zawierających ślady korzystania z wzorców, które nie mają zastosowania w niniejszym Kontrakcie i/lub niezastosowanie się do zgłoszonych uwag Inżyniera Kontraktu/ Pomijanie uwag / nie udzielanie wyczerpujących wyjaśnień - skutkujące koniecznością ich trzykrotnej weryfikacji przez Inżyniera - do wysokości </w:t>
            </w:r>
            <w:r w:rsidR="001D1744" w:rsidRPr="003A602C">
              <w:rPr>
                <w:rFonts w:ascii="Arial" w:hAnsi="Arial" w:cs="Arial"/>
                <w:sz w:val="18"/>
                <w:szCs w:val="18"/>
              </w:rPr>
              <w:t xml:space="preserve">500 </w:t>
            </w:r>
            <w:r w:rsidRPr="003A602C">
              <w:rPr>
                <w:rFonts w:ascii="Arial" w:hAnsi="Arial" w:cs="Arial"/>
                <w:sz w:val="18"/>
                <w:szCs w:val="18"/>
              </w:rPr>
              <w:t>zł za każdy przypadek naruszenia. Każdy przypadek stanowi odrębny tematycznie rodzaj dokumentu wraz z niezbędnymi załącznikami do niego;</w:t>
            </w:r>
          </w:p>
          <w:p w14:paraId="2281C97B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 xml:space="preserve">Posługiwanie się osobami nieupoważnionymi do przebywania na terenie Budowy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500 zł za każdą osobę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  stwierdzoną przez Inżyniera jako pracującą bez zawartej z Wykonawcą Umowy;</w:t>
            </w:r>
          </w:p>
          <w:p w14:paraId="681B401C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nieprzestrzeganie przez robotników Wykonawcy przepisów BHP a w szczególności dotyczących odzieży ochronnej -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w wysokości 200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 naruszenia stwierdzony przez Inżyniera;;</w:t>
            </w:r>
          </w:p>
          <w:p w14:paraId="7877567F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złamanie przepisów i/lub procedur bezpieczeństwa wynikających z Planu BIOZ lub Programu Zapewnienia jakości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w wysokości 1000 zł za każdy przypadek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stwierdzony przez Inżyniera;</w:t>
            </w:r>
          </w:p>
          <w:p w14:paraId="153E4EA9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zakrycie robót zanikających i ulegających zakryciu bez ich protokolarnego odebrania przed upływem terminu wyznaczonego Inżynierowi na taki odbiór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5000 zł za każdy przypadek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(niezależnie od konieczności wykonania polecenia Inżyniera rozebrania takich robót na koszt Wykonawcy);</w:t>
            </w:r>
          </w:p>
          <w:p w14:paraId="125C5B13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W przypadku stwierdzenia przez Inżyniera  wykonania poszczególnych elementów i lub odcinków robót  niezgodnie ze Specyfikacją, Wykonawca  dokonuje rozebrania wadliwie wykonanych prac  i wykonuje je ponownie na swój koszt bez roszczenia przedłużenia Czasu na Ukończenie oraz zobowiązany jest do zapłaty kary w wysokości  </w:t>
            </w:r>
            <w:r w:rsidR="001D1744" w:rsidRPr="003A602C">
              <w:rPr>
                <w:rFonts w:ascii="Arial" w:hAnsi="Arial" w:cs="Arial"/>
                <w:b/>
                <w:sz w:val="18"/>
                <w:szCs w:val="18"/>
              </w:rPr>
              <w:t xml:space="preserve">3000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taki przypadek;</w:t>
            </w:r>
          </w:p>
          <w:p w14:paraId="7C1EABC9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nie zachowanie ciągłości ubezpieczenia Kontraktu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800 zł za każdy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dzień braku ciągłości;</w:t>
            </w:r>
          </w:p>
          <w:p w14:paraId="3FB12D97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nie zachowanie ciągłości Zabezpieczenia Należytego Wykonania Umowy 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800 zł za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każdy dzień braku ciągłości;</w:t>
            </w:r>
          </w:p>
          <w:p w14:paraId="0B2EBF2B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przedkładanie do akceptacji rozwiązań materiałowych niezgodnych z wymaganiami jakościowymi wynikającymi z Opisu Przedmiotu Zamówienia (np. brak oznaczonych źródeł pochodzenia, nie spełnione wymogi jakościowe, brak wykazanej równoważności rozwiązania materiałowego -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1000 zł za każdy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przypadek</w:t>
            </w:r>
          </w:p>
          <w:p w14:paraId="1B6888C6" w14:textId="77777777" w:rsidR="00354467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każdorazowe naruszanie zasad wynikających z kontraktu dotyczących Podwykonawców określonych w klauzuli 4.4 (w tym m.in.: </w:t>
            </w:r>
          </w:p>
          <w:p w14:paraId="1453D798" w14:textId="77777777" w:rsidR="00CD4D1C" w:rsidRDefault="007F0DEF" w:rsidP="000E230A">
            <w:pPr>
              <w:pStyle w:val="Akapitzlist"/>
              <w:numPr>
                <w:ilvl w:val="0"/>
                <w:numId w:val="23"/>
              </w:numPr>
              <w:spacing w:after="200"/>
              <w:ind w:left="977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podzlecanie prac Podwykonawcom bez zgody Zamawiającego (nieprzedłożenia do zaakceptowania projektu umowy o podwykonawstwo, której przedmiotem są roboty budowlane, dostawy, lub usługi, lub projektu jej zmiany), </w:t>
            </w:r>
          </w:p>
          <w:p w14:paraId="6F829684" w14:textId="77777777" w:rsidR="00CD4D1C" w:rsidRDefault="007F0DEF" w:rsidP="000E230A">
            <w:pPr>
              <w:pStyle w:val="Akapitzlist"/>
              <w:numPr>
                <w:ilvl w:val="0"/>
                <w:numId w:val="23"/>
              </w:numPr>
              <w:spacing w:after="200"/>
              <w:ind w:left="977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nieprzedłożenia poświadczonej za zgodność z oryginałem kopii umowy o podwykonawstwo lub jej zmiany,</w:t>
            </w:r>
          </w:p>
          <w:p w14:paraId="7FD53DE9" w14:textId="77777777" w:rsidR="00CD4D1C" w:rsidRDefault="007F0DEF" w:rsidP="000E230A">
            <w:pPr>
              <w:pStyle w:val="Akapitzlist"/>
              <w:numPr>
                <w:ilvl w:val="0"/>
                <w:numId w:val="23"/>
              </w:numPr>
              <w:spacing w:after="200"/>
              <w:ind w:left="977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 braku zmiany umowy o podwykonawstwo w zakresie terminu zapłaty, </w:t>
            </w:r>
          </w:p>
          <w:p w14:paraId="32B50C81" w14:textId="77777777" w:rsidR="00CD4D1C" w:rsidRDefault="007F0DEF" w:rsidP="000E230A">
            <w:pPr>
              <w:pStyle w:val="Akapitzlist"/>
              <w:numPr>
                <w:ilvl w:val="0"/>
                <w:numId w:val="23"/>
              </w:numPr>
              <w:spacing w:after="200"/>
              <w:ind w:left="977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spowodowanie konieczności dokonywania bezpośrednich płatności wobec Podwykonawców, </w:t>
            </w:r>
          </w:p>
          <w:p w14:paraId="66AD8A40" w14:textId="77777777" w:rsidR="00CD4D1C" w:rsidRDefault="007F0DEF" w:rsidP="000E230A">
            <w:pPr>
              <w:pStyle w:val="Akapitzlist"/>
              <w:numPr>
                <w:ilvl w:val="0"/>
                <w:numId w:val="22"/>
              </w:numPr>
              <w:spacing w:after="200"/>
              <w:ind w:left="977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nie dopełnienie obowiązków informacyjnych  dotyczących Rejestru Podwykonawców etc. ) </w:t>
            </w:r>
            <w:r w:rsidR="003327A3" w:rsidRPr="003A602C">
              <w:rPr>
                <w:rFonts w:ascii="Arial" w:hAnsi="Arial" w:cs="Arial"/>
                <w:sz w:val="18"/>
                <w:szCs w:val="18"/>
              </w:rPr>
              <w:t>za inne naruszenia - postanowień w klauzuli 4.4 wobec wymagań kontraktu dotyczących Podwykonawców;</w:t>
            </w:r>
          </w:p>
          <w:p w14:paraId="2A9DADD7" w14:textId="77777777" w:rsidR="00CD4D1C" w:rsidRPr="000E230A" w:rsidRDefault="003327A3" w:rsidP="000E230A">
            <w:pPr>
              <w:pStyle w:val="Akapitzlist"/>
              <w:numPr>
                <w:ilvl w:val="0"/>
                <w:numId w:val="22"/>
              </w:numPr>
              <w:spacing w:after="200"/>
              <w:ind w:left="977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za zatrudnienie podwykonawców nie zaakceptowanych przez Zamawiającego w zakresie wiedzy i doświadczenia w zakresie spełnienia przez Wykonawcę Warunków udziału w postępowaniu</w:t>
            </w:r>
            <w:r w:rsidR="003F3D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D1C" w:rsidRPr="000E230A">
              <w:rPr>
                <w:rFonts w:ascii="Arial" w:hAnsi="Arial" w:cs="Arial"/>
                <w:sz w:val="18"/>
                <w:szCs w:val="18"/>
              </w:rPr>
              <w:t xml:space="preserve">wysokości </w:t>
            </w:r>
            <w:r w:rsidR="00CD4D1C" w:rsidRPr="000E230A">
              <w:rPr>
                <w:rFonts w:ascii="Arial" w:hAnsi="Arial" w:cs="Arial"/>
                <w:b/>
                <w:sz w:val="18"/>
                <w:szCs w:val="18"/>
              </w:rPr>
              <w:t>5000 zł</w:t>
            </w:r>
            <w:r w:rsidR="00CD4D1C" w:rsidRPr="000E230A">
              <w:rPr>
                <w:rFonts w:ascii="Arial" w:hAnsi="Arial" w:cs="Arial"/>
                <w:sz w:val="18"/>
                <w:szCs w:val="18"/>
              </w:rPr>
              <w:t xml:space="preserve"> za każdy przypadek naruszenia;</w:t>
            </w:r>
          </w:p>
          <w:p w14:paraId="7E22DCDB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przekroczenie 30 dniowego terminu płatności wobec Podwykonawców w wysokości 0,5% od wartości danego zobowiązania za każdy dzień przeterminowanej płatności </w:t>
            </w:r>
          </w:p>
          <w:p w14:paraId="1A7FAFE7" w14:textId="77777777" w:rsidR="00727C5C" w:rsidRPr="003A602C" w:rsidRDefault="003327A3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spowodowanie przerwy w realizacji Robót (zejście z Terenu Budowy) lub utrzymania nieodpowiedniego tempa Robót (tj. pozorowanie 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 xml:space="preserve">prac)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w wysokości 500 zł za każdy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 xml:space="preserve"> dzień nieuzasadnionej przerwy</w:t>
            </w:r>
            <w:r w:rsidR="001D1744" w:rsidRPr="003A602C">
              <w:rPr>
                <w:rFonts w:ascii="Arial" w:hAnsi="Arial" w:cs="Arial"/>
                <w:sz w:val="18"/>
                <w:szCs w:val="18"/>
              </w:rPr>
              <w:t>/zwłoki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 xml:space="preserve"> w Robotach z winy Wykonawcy</w:t>
            </w:r>
            <w:r w:rsidRPr="003A602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F8BEB97" w14:textId="77777777" w:rsidR="00727C5C" w:rsidRPr="003A602C" w:rsidRDefault="003327A3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każde rażące nie dopełnienie procedur bezpieczeństwa, niezabezpieczenie terenu budowy (zgodnie z warunkami niniejszego Kontraktu oraz Dokumentami Wykonawcy) grożące ryzykiem strat na mieniu prywatnym i/lub komunalnym i/ lub groźbą wystąpienia </w:t>
            </w: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 xml:space="preserve">nieszczęśliwego wypadku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4000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y przyp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>adek;</w:t>
            </w:r>
          </w:p>
          <w:p w14:paraId="25D9BBF3" w14:textId="77777777" w:rsidR="00727C5C" w:rsidRPr="003A602C" w:rsidRDefault="003327A3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zniszczenie istniejącej infrastruktury pomimo, iż jej istnienie w określonym miejscu było ławo 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>widoczne i/lub wynikało z przekazanych Wykonawcy Danych Terenu  Budowy np. przerwanie instalacji posadowionych w gruncie - Wykonawca zobowiązany jest to pokrycia kosztów przywrócenia infrastruktury do stanu sprzed uszkodzenia oraz powetować straty na mieniu Zamawiającego i/lub Stron Trzecich (jeśli takowe wystąpiły o ile ich przypisanie do wskazanej przyczyny jest bezsporne)</w:t>
            </w:r>
            <w:r w:rsidR="001D1744" w:rsidRPr="003A60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95B1C" w:rsidRPr="003A602C">
              <w:rPr>
                <w:rFonts w:ascii="Arial" w:hAnsi="Arial" w:cs="Arial"/>
                <w:sz w:val="18"/>
                <w:szCs w:val="18"/>
              </w:rPr>
              <w:t>zgodnie z wyceną według kosztu odtworzenia;</w:t>
            </w:r>
          </w:p>
          <w:p w14:paraId="2D0C26AE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każdorazowe nieuzasadnione niewykonanie polecenia Inżyniera w zakresie dyspozycji merytorycznych  do których Inżynier jest uprawniony na mocy niniejszego Kontraktu na mocy klauzuli 3.3. [Polecenia Inżyniera]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 xml:space="preserve">500 zł </w:t>
            </w:r>
            <w:r w:rsidRPr="003A602C">
              <w:rPr>
                <w:rFonts w:ascii="Arial" w:hAnsi="Arial" w:cs="Arial"/>
                <w:sz w:val="18"/>
                <w:szCs w:val="18"/>
              </w:rPr>
              <w:t>za każdy przypadek;</w:t>
            </w:r>
          </w:p>
          <w:p w14:paraId="4634AD0A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spowodowanie nałożenia kar i /lub odszkodowań  na Zamawiającego przez Strony Trzecie; wynikających  z bezpośredniego działania i/lub zaniechania Wykonawcy, Zamawiający ma prawo obciążyć Wykonawcę całością wydatków poniesionych przez Zamawiającego a wynikających z tego roszczenia (o ile jest ono bezsporne) wraz karą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3000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przypadek;;</w:t>
            </w:r>
          </w:p>
          <w:p w14:paraId="6DDF2B93" w14:textId="77777777" w:rsidR="00674B53" w:rsidRPr="003A602C" w:rsidRDefault="007F0DEF" w:rsidP="009B5B65">
            <w:pPr>
              <w:pStyle w:val="Akapitzlist"/>
              <w:numPr>
                <w:ilvl w:val="0"/>
                <w:numId w:val="12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 tytułu korekty uzyskanego dofinansowania ze środków UE w ramach Programu Operacyjnego Infrastruktura i Środowisko 2014-2020 wynikającej z nienależytego wykonywania obowiązków przez Wykonawcę np.  złamanie przepisów Prawa Budowlanego i/lub Ochrony Środowiska powodującego brak możliwości uznania określonych Robót jako kwalifikujących się do dofinansowania), wbudowanie wadliwych materiałów i/lub urządzeń, dopuszczenie się incydentów fałszerstwa dokumentów i/lub aktów przekupstwa urzędników Administracji Publicznej, etc. (niezależnie od prawa Zamawiającego do rozwiązania umowy z winy Wykonawcy na mocy klauzuli 15.5 [Uprawnienia Zamawiającego do rozwiązania Kontraktu]), odmowa dostarczania jakichkolwiek dokumentów wymaganych przez Instytucje Finansującą- </w:t>
            </w:r>
            <w:r w:rsidR="00674B53" w:rsidRPr="003A602C">
              <w:rPr>
                <w:rFonts w:ascii="Arial" w:hAnsi="Arial" w:cs="Arial"/>
                <w:sz w:val="18"/>
                <w:szCs w:val="18"/>
              </w:rPr>
              <w:t xml:space="preserve">wykonawca pokrywa </w:t>
            </w:r>
            <w:r w:rsidR="00395B1C" w:rsidRPr="003A602C">
              <w:rPr>
                <w:rFonts w:ascii="Arial" w:hAnsi="Arial" w:cs="Arial"/>
                <w:color w:val="002060"/>
                <w:sz w:val="18"/>
                <w:szCs w:val="18"/>
              </w:rPr>
              <w:t>całość straty poniesionej przez Zamawiającego z winy Wykonawcy;</w:t>
            </w:r>
          </w:p>
          <w:p w14:paraId="2597A987" w14:textId="77777777" w:rsidR="00674B53" w:rsidRPr="003A602C" w:rsidRDefault="00395B1C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002060"/>
                <w:sz w:val="18"/>
                <w:szCs w:val="18"/>
              </w:rPr>
              <w:t>Za nieobecność jakiegokolwiek członka z zespołu kadrowego Wykonawcy niezgodna</w:t>
            </w:r>
            <w:r w:rsidR="00674B53" w:rsidRPr="003A602C">
              <w:rPr>
                <w:rFonts w:ascii="Arial" w:hAnsi="Arial" w:cs="Arial"/>
                <w:sz w:val="18"/>
                <w:szCs w:val="18"/>
              </w:rPr>
              <w:t xml:space="preserve"> z wymaganiami SIWZ I/LUB deklaracją z Oferty w wysokości 400 zł/osobę / za dzień nieobecności;</w:t>
            </w:r>
          </w:p>
          <w:p w14:paraId="464F7516" w14:textId="77777777" w:rsidR="003327A3" w:rsidRPr="003A602C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zaleganie z wypłatą wynagrodzenia swoim pracownikom przekraczające 30 dni od daty w którym wynagrodzenie to stało się wymagalne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500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 nieuzasadnionej zwłoki w wypłacie wynagrodzenia za dany okres rozliczeniowy i za każde kolejne 10 dni dalszej zwłoki liczone dla każdego takiego przypadku oddzielnie.</w:t>
            </w:r>
          </w:p>
          <w:p w14:paraId="714BAD0C" w14:textId="77777777" w:rsidR="00727C5C" w:rsidRPr="003A602C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zatrudnianie pracowników pracujących na budowie pod nadzorem Wykonawcy, wykonujących pracę </w:t>
            </w:r>
            <w:r w:rsidRPr="003A602C">
              <w:rPr>
                <w:rFonts w:ascii="Arial" w:hAnsi="Arial" w:cs="Arial"/>
                <w:sz w:val="18"/>
                <w:szCs w:val="18"/>
                <w:lang w:eastAsia="en-US"/>
              </w:rPr>
              <w:t>w sposób określony w art. 22 § 1 ustawy z dnia 26 czerwca 1974 r. – Kodeks</w:t>
            </w:r>
            <w:r w:rsidR="003327A3" w:rsidRPr="003A602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pracy</w:t>
            </w:r>
            <w:r w:rsidRPr="003A602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(Dz. U. z 2016 r. poz. 1666, 2138 i 2255 oraz z 2017 r. poz. 60 i 962). bez zawartej umowy o pracę - w wysokości 500 zł za każdy przypadek; </w:t>
            </w:r>
          </w:p>
          <w:p w14:paraId="7F3AA050" w14:textId="77777777" w:rsidR="00727C5C" w:rsidRPr="003A602C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Za nie przekazywanie Zamawiającemu informacji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 xml:space="preserve"> umożliwiających weryfikację i monitoring w zakresie  zatrudniania pracowników pracujących na budowie pod nadzorem Wykonawcy, wykonujących pracę </w:t>
            </w:r>
            <w:r w:rsidR="007F0DEF" w:rsidRPr="003A602C">
              <w:rPr>
                <w:rFonts w:ascii="Arial" w:hAnsi="Arial" w:cs="Arial"/>
                <w:sz w:val="18"/>
                <w:szCs w:val="18"/>
                <w:lang w:eastAsia="en-US"/>
              </w:rPr>
              <w:t xml:space="preserve">w sposób określony w art. 22 § 1 ustawy z dnia 26 czerwca 1974 r. – Kodeks pracy (Dz. U. z 2016 r. poz. 1666, 2138 i 2255 oraz z 2017 r. poz. 60 i 962). - w wysokości 500 zł za każdy przypadek; </w:t>
            </w:r>
          </w:p>
          <w:p w14:paraId="0725201E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Wykonawca powetuje Zamawiającemu udokumentowane koszty zatrudnienia dodatkowych osób/Wykonawców, które były niezbędne do realizowania zadań za  których realizację odpowiadał  Wykonawca  a które nie zostały wykonane przez Wykonawcę lub które zostały wykonane przez niego nienależycie i zaistniała konieczność ich rozebrania i wykonania ponownego zgodnie ze sztuką budowlaną -  tj. w przypadku jeśli Zamawiający dokonał zapłaty za te Roboty. Jeśli Zamawiający nie zapłacił </w:t>
            </w: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 xml:space="preserve">za te Roboty to Zamawiający pomniejsza Wynagrodzenie Wykonawcy o wartość wadliwie wykonanych prac, które powierza się innemu Wykonawcy. Dodatkowo Wykonawca zapłaci karę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5.000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taki przypadek stanowiącą rekompensatę Zamawiającego kosztów transakcyjnych wynikających z konieczności przeprowadzenia postępowania </w:t>
            </w:r>
            <w:r w:rsidR="005C3226" w:rsidRPr="003A602C">
              <w:rPr>
                <w:rFonts w:ascii="Arial" w:hAnsi="Arial" w:cs="Arial"/>
                <w:sz w:val="18"/>
                <w:szCs w:val="18"/>
              </w:rPr>
              <w:t xml:space="preserve">w celu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wyłonienia nowego Wykonawcy </w:t>
            </w:r>
          </w:p>
          <w:p w14:paraId="364DC689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każdorazowe nieuprawnione  pomniejszanie zakresu świadczenia Wykonawcy stwierdzone przez Zamawiającego i/lub Inżyniera względem warunków niniejszego Kontraktu), co dotyczy zarówno nie dotrzymania parametrów technicznych Robót wynikających z Opisu Przedmiotu Zamówienia, jak i warunków realizacji  niniejszego Kontraktu (obowiązków proceduralnych) o ile nie zostały wymienione w punktach powyżej a pomniejszenie to stanowi nieuprawnioną zmianę niniejszej Umowy w -  do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5.000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 lub 2% od wartości netto rozliczanej w PŚP którego dotyczy pomniejszenie w zależności od tego co jest mniejsze;  adekwatnie do wagi naruszenia (w każdym przypadku jeśli Wykonawca uchyla się od naprawy uchybienia i/lub naprawa uchybienia z opóźnieniem nie miałaby dla Zamawiającego ekonomicznego znaczenia);</w:t>
            </w:r>
          </w:p>
          <w:p w14:paraId="60C652FB" w14:textId="77777777" w:rsidR="006B4B10" w:rsidRPr="003A602C" w:rsidRDefault="00EF5F8C" w:rsidP="009B5B65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Przyjmuje się, iż wysokość naliczonych kar umownych łącznie z karą za rozwiązanie/odstąpienie od umowy naliczonych w okresie obowiązywania całego kontraktu ogranicza się do w wysokości 50% od wartości Kwoty kontraktowej Netto, chyba że wysokość szkody powstałej po stronie Zamawiającego jest wyższa to Zamawiający zastrzega sobie możliwość jej dochodzenia w ramach postępowania sądowego  na mocy klauzuli 20.6.W momencie rozwiązywania umowy z powodu zwłoki Wykonawcy w realizacji KONTRAKTU Zamawiający ma do wyboru naliczenie kary za zwłokę i kontynuację kontraktu lub odstąpienie od umowy z karą 20% wartości netto kontraktu. Kara może zostać ograniczona w przypadku wykazania przez Wykonawcę ze odebrane części zamówienia mogą funkcjonować niezależnie. Wówczas kara może zostać ograniczona do 20% wartości prac od których wykonania Zamawiający odstępuje z winy Wykonawcy </w:t>
            </w:r>
          </w:p>
        </w:tc>
      </w:tr>
      <w:tr w:rsidR="009246E8" w:rsidRPr="003A602C" w14:paraId="15F81BA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0E13D771" w14:textId="77777777" w:rsidR="009246E8" w:rsidRPr="003A602C" w:rsidRDefault="009246E8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wynagrodzenia </w:t>
            </w:r>
          </w:p>
        </w:tc>
        <w:tc>
          <w:tcPr>
            <w:tcW w:w="601" w:type="pct"/>
            <w:vAlign w:val="center"/>
          </w:tcPr>
          <w:p w14:paraId="2A3CC2C6" w14:textId="77777777" w:rsidR="009246E8" w:rsidRPr="003A602C" w:rsidRDefault="009246E8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13.1</w:t>
            </w:r>
          </w:p>
          <w:p w14:paraId="7808ECA9" w14:textId="77777777" w:rsidR="009246E8" w:rsidRPr="003A602C" w:rsidRDefault="009246E8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</w:tc>
        <w:tc>
          <w:tcPr>
            <w:tcW w:w="3578" w:type="pct"/>
            <w:vAlign w:val="center"/>
          </w:tcPr>
          <w:p w14:paraId="096BFB38" w14:textId="77777777" w:rsidR="009246E8" w:rsidRPr="003A602C" w:rsidRDefault="005058F4" w:rsidP="009B5B65">
            <w:pPr>
              <w:pStyle w:val="Default"/>
              <w:spacing w:after="50"/>
              <w:rPr>
                <w:b/>
                <w:sz w:val="18"/>
                <w:szCs w:val="18"/>
                <w:u w:val="dash" w:color="E36C0A" w:themeColor="accent6" w:themeShade="BF"/>
              </w:rPr>
            </w:pPr>
            <w:r w:rsidRPr="003A602C">
              <w:rPr>
                <w:b/>
                <w:sz w:val="18"/>
                <w:szCs w:val="18"/>
                <w:u w:val="dash" w:color="E36C0A" w:themeColor="accent6" w:themeShade="BF"/>
              </w:rPr>
              <w:t xml:space="preserve">a. Wynagrodzenie Wykonawcy może ulec zwiększeniu w przypadku: </w:t>
            </w:r>
          </w:p>
          <w:p w14:paraId="0E915582" w14:textId="77777777" w:rsidR="006B4B10" w:rsidRPr="003A602C" w:rsidRDefault="009246E8" w:rsidP="009B5B65">
            <w:pPr>
              <w:pStyle w:val="Default"/>
              <w:numPr>
                <w:ilvl w:val="0"/>
                <w:numId w:val="9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 xml:space="preserve">W przypadku zwiększenia stawki podatku VAT, faktury Wykonawcy będą wystawiane z uwzględnieniem wyższej stopy podatku; zwiększeniu ulegnie kwota brutto Zatwierdzonej Kwoty Kontraktowej, co wymaga Aneksu do Umowy; </w:t>
            </w:r>
          </w:p>
          <w:p w14:paraId="788A1E9C" w14:textId="77777777" w:rsidR="00251B34" w:rsidRPr="003A602C" w:rsidRDefault="00251B34" w:rsidP="009B5B65">
            <w:pPr>
              <w:pStyle w:val="Default"/>
              <w:numPr>
                <w:ilvl w:val="0"/>
                <w:numId w:val="9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>Udzielenia tzw. zamówień podobnych</w:t>
            </w:r>
          </w:p>
          <w:p w14:paraId="65C54453" w14:textId="77777777" w:rsidR="006B4B10" w:rsidRPr="003A602C" w:rsidRDefault="005B5311" w:rsidP="009B5B65">
            <w:pPr>
              <w:pStyle w:val="Default"/>
              <w:spacing w:after="50"/>
              <w:ind w:left="72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>Szczegółowe rozliczenia sposobu waloryzacji przedstawiono w Rozdziale 13 Zmiany i Korekty; klauzula 13.1 Prawo do Zmian</w:t>
            </w:r>
          </w:p>
          <w:p w14:paraId="5BDB1584" w14:textId="77777777" w:rsidR="009246E8" w:rsidRPr="003A602C" w:rsidRDefault="005058F4" w:rsidP="009B5B65">
            <w:pPr>
              <w:pStyle w:val="Default"/>
              <w:spacing w:after="50"/>
              <w:rPr>
                <w:b/>
                <w:sz w:val="18"/>
                <w:szCs w:val="18"/>
                <w:u w:val="dash" w:color="E36C0A" w:themeColor="accent6" w:themeShade="BF"/>
              </w:rPr>
            </w:pPr>
            <w:r w:rsidRPr="003A602C">
              <w:rPr>
                <w:b/>
                <w:sz w:val="18"/>
                <w:szCs w:val="18"/>
                <w:u w:val="dash" w:color="E36C0A" w:themeColor="accent6" w:themeShade="BF"/>
              </w:rPr>
              <w:t xml:space="preserve">b. Wynagrodzenie Wykonawcy może ulec zmniejszeniu w przypadku: </w:t>
            </w:r>
          </w:p>
          <w:p w14:paraId="7ED56255" w14:textId="77777777" w:rsidR="006B4B10" w:rsidRPr="003A602C" w:rsidRDefault="009246E8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 xml:space="preserve">Konieczności rezygnacji przez Zamawiającego z pewnych prac (np. nakładanie się zakresów zadań w ramach innego Zamówienia/Projektu, etc.) </w:t>
            </w:r>
          </w:p>
          <w:p w14:paraId="5B2A60F8" w14:textId="77777777" w:rsidR="006B4B10" w:rsidRPr="003A602C" w:rsidRDefault="009246E8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 xml:space="preserve">Konieczności wykonania robót zamiennych, jeśli koszt wykonania robót zamiennych będzie niższy niż to wynika z Oferty Wykonawcy; </w:t>
            </w:r>
          </w:p>
          <w:p w14:paraId="03D7014F" w14:textId="77777777" w:rsidR="0069737B" w:rsidRPr="003A602C" w:rsidRDefault="007F0DEF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 xml:space="preserve">W przypadku zmniejszenia stawki podatku VAT, faktury Wykonawcy będą wystawiane z uwzględnieniem niższej stopy podatku i zmniejszeniu ulegnie kwota brutto </w:t>
            </w:r>
          </w:p>
          <w:p w14:paraId="6A59E6CC" w14:textId="77777777" w:rsidR="009246E8" w:rsidRPr="003A602C" w:rsidRDefault="00251B34" w:rsidP="009B5B65">
            <w:pPr>
              <w:pStyle w:val="Default"/>
              <w:numPr>
                <w:ilvl w:val="0"/>
                <w:numId w:val="10"/>
              </w:numPr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>Z</w:t>
            </w:r>
            <w:r w:rsidR="007F0DEF" w:rsidRPr="003A602C">
              <w:rPr>
                <w:sz w:val="18"/>
                <w:szCs w:val="18"/>
              </w:rPr>
              <w:t xml:space="preserve">miany będą korzystne dla Zamawiającego, np. Wykonawca wprowadzi specjalny rabat – w takich </w:t>
            </w:r>
            <w:r w:rsidR="007F0DEF" w:rsidRPr="003A602C">
              <w:rPr>
                <w:sz w:val="18"/>
                <w:szCs w:val="18"/>
                <w:lang w:val="en-GB"/>
              </w:rPr>
              <w:t>p</w:t>
            </w:r>
            <w:proofErr w:type="spellStart"/>
            <w:r w:rsidR="009246E8" w:rsidRPr="003A602C">
              <w:rPr>
                <w:sz w:val="18"/>
                <w:szCs w:val="18"/>
              </w:rPr>
              <w:t>rzypadkach</w:t>
            </w:r>
            <w:proofErr w:type="spellEnd"/>
            <w:r w:rsidR="009246E8" w:rsidRPr="003A602C">
              <w:rPr>
                <w:sz w:val="18"/>
                <w:szCs w:val="18"/>
              </w:rPr>
              <w:t xml:space="preserve"> wartość umowy ulegnie odpowiedniemu zmniejszeniu, </w:t>
            </w:r>
          </w:p>
        </w:tc>
      </w:tr>
      <w:tr w:rsidR="00767843" w:rsidRPr="003A602C" w14:paraId="7BF2B721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93"/>
          <w:jc w:val="center"/>
        </w:trPr>
        <w:tc>
          <w:tcPr>
            <w:tcW w:w="821" w:type="pct"/>
            <w:vAlign w:val="center"/>
          </w:tcPr>
          <w:p w14:paraId="6A4A36C0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Korekta zmiany kosztu</w:t>
            </w:r>
          </w:p>
        </w:tc>
        <w:tc>
          <w:tcPr>
            <w:tcW w:w="601" w:type="pct"/>
            <w:vAlign w:val="center"/>
          </w:tcPr>
          <w:p w14:paraId="3C235677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13.8</w:t>
            </w:r>
          </w:p>
        </w:tc>
        <w:tc>
          <w:tcPr>
            <w:tcW w:w="3578" w:type="pct"/>
            <w:vAlign w:val="center"/>
          </w:tcPr>
          <w:p w14:paraId="32B8F098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Nie mają zastosowania</w:t>
            </w:r>
          </w:p>
        </w:tc>
      </w:tr>
      <w:tr w:rsidR="00767843" w:rsidRPr="003A602C" w14:paraId="1FAAEF46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29"/>
          <w:jc w:val="center"/>
        </w:trPr>
        <w:tc>
          <w:tcPr>
            <w:tcW w:w="821" w:type="pct"/>
            <w:vAlign w:val="center"/>
          </w:tcPr>
          <w:p w14:paraId="29686ADF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Całkowita kwota zaliczki</w:t>
            </w:r>
          </w:p>
        </w:tc>
        <w:tc>
          <w:tcPr>
            <w:tcW w:w="601" w:type="pct"/>
            <w:vAlign w:val="center"/>
          </w:tcPr>
          <w:p w14:paraId="25D8A67C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14.2</w:t>
            </w:r>
          </w:p>
        </w:tc>
        <w:tc>
          <w:tcPr>
            <w:tcW w:w="3578" w:type="pct"/>
            <w:vAlign w:val="center"/>
          </w:tcPr>
          <w:p w14:paraId="0377A2BD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Nie mają zastosowania</w:t>
            </w:r>
          </w:p>
        </w:tc>
      </w:tr>
      <w:tr w:rsidR="003861E6" w:rsidRPr="003A602C" w14:paraId="53D030AE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7BAA1642" w14:textId="77777777" w:rsidR="003861E6" w:rsidRPr="003A602C" w:rsidDel="00767843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>Minimalna kwota Przejściowego Świadectwa Płatności</w:t>
            </w:r>
          </w:p>
        </w:tc>
        <w:tc>
          <w:tcPr>
            <w:tcW w:w="601" w:type="pct"/>
            <w:vAlign w:val="center"/>
          </w:tcPr>
          <w:p w14:paraId="4724ED45" w14:textId="77777777" w:rsidR="003861E6" w:rsidRPr="003A602C" w:rsidDel="00767843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14.6</w:t>
            </w:r>
          </w:p>
        </w:tc>
        <w:tc>
          <w:tcPr>
            <w:tcW w:w="3578" w:type="pct"/>
            <w:vAlign w:val="center"/>
          </w:tcPr>
          <w:p w14:paraId="6EAF3D51" w14:textId="77777777" w:rsidR="003861E6" w:rsidRPr="003A602C" w:rsidDel="00767843" w:rsidRDefault="009246E8" w:rsidP="009B5B65">
            <w:pPr>
              <w:tabs>
                <w:tab w:val="left" w:pos="-10"/>
              </w:tabs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Kwota przejściowego Świadectwa płatności będzie wynikała każdorazowo z wartości odebranych elementów scalonych w danym kamieniu milowym . Postęp finansowy musi wynikać w postępu rzeczowego- wykonanych i odebranych prac.</w:t>
            </w:r>
            <w:r w:rsidR="00192E8D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861E6" w:rsidRPr="003A602C" w14:paraId="371C38A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56"/>
          <w:jc w:val="center"/>
        </w:trPr>
        <w:tc>
          <w:tcPr>
            <w:tcW w:w="821" w:type="pct"/>
            <w:vAlign w:val="center"/>
          </w:tcPr>
          <w:p w14:paraId="74E85E8C" w14:textId="77777777" w:rsidR="003861E6" w:rsidRPr="003A602C" w:rsidDel="00767843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Waluta płatności</w:t>
            </w:r>
          </w:p>
        </w:tc>
        <w:tc>
          <w:tcPr>
            <w:tcW w:w="601" w:type="pct"/>
            <w:vAlign w:val="center"/>
          </w:tcPr>
          <w:p w14:paraId="11800AD0" w14:textId="77777777" w:rsidR="003861E6" w:rsidRPr="003A602C" w:rsidDel="00767843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14.15</w:t>
            </w:r>
          </w:p>
        </w:tc>
        <w:tc>
          <w:tcPr>
            <w:tcW w:w="3578" w:type="pct"/>
            <w:vAlign w:val="center"/>
          </w:tcPr>
          <w:p w14:paraId="782B7B0A" w14:textId="77777777" w:rsidR="003861E6" w:rsidRPr="003A602C" w:rsidDel="00767843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FE4977" w:rsidRPr="003A602C" w14:paraId="59E54479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50B6289F" w14:textId="77777777" w:rsidR="00FE4977" w:rsidRPr="003A602C" w:rsidRDefault="00FE4977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Strona ubezpieczająca</w:t>
            </w:r>
          </w:p>
        </w:tc>
        <w:tc>
          <w:tcPr>
            <w:tcW w:w="601" w:type="pct"/>
            <w:vAlign w:val="center"/>
          </w:tcPr>
          <w:p w14:paraId="77414050" w14:textId="77777777" w:rsidR="00FE4977" w:rsidRPr="003A602C" w:rsidRDefault="00FE4977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18.1</w:t>
            </w:r>
          </w:p>
        </w:tc>
        <w:tc>
          <w:tcPr>
            <w:tcW w:w="3578" w:type="pct"/>
            <w:vAlign w:val="center"/>
          </w:tcPr>
          <w:p w14:paraId="1D4D3420" w14:textId="77777777" w:rsidR="00FE4977" w:rsidRPr="003A602C" w:rsidRDefault="00FE4977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Wykonawca</w:t>
            </w:r>
          </w:p>
          <w:p w14:paraId="35D57B3B" w14:textId="77777777" w:rsidR="005C3226" w:rsidRPr="003A602C" w:rsidRDefault="005C322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Ubezpieczenie musi zawierać cesje wierzytelności na Zamawiającego na całą kwotę ubezpieczenia</w:t>
            </w:r>
          </w:p>
        </w:tc>
      </w:tr>
      <w:tr w:rsidR="003861E6" w:rsidRPr="003A602C" w14:paraId="3EBDD5DA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4B80BF15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Okresy na przedłożenie:</w:t>
            </w:r>
          </w:p>
          <w:p w14:paraId="252F5C67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- dowodów ubezpieczenia</w:t>
            </w:r>
          </w:p>
          <w:p w14:paraId="24F891BE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- stosownych polis </w:t>
            </w:r>
          </w:p>
        </w:tc>
        <w:tc>
          <w:tcPr>
            <w:tcW w:w="601" w:type="pct"/>
            <w:vAlign w:val="center"/>
          </w:tcPr>
          <w:p w14:paraId="6EFBF3F2" w14:textId="77777777" w:rsidR="003861E6" w:rsidRPr="003A602C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18.1(a)(b)</w:t>
            </w:r>
          </w:p>
        </w:tc>
        <w:tc>
          <w:tcPr>
            <w:tcW w:w="3578" w:type="pct"/>
            <w:vAlign w:val="center"/>
          </w:tcPr>
          <w:p w14:paraId="52CA8785" w14:textId="77777777" w:rsidR="003861E6" w:rsidRPr="003A602C" w:rsidRDefault="00633127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Przed datą rozpoczęcia</w:t>
            </w:r>
            <w:r w:rsidR="005C3226" w:rsidRPr="003A602C">
              <w:rPr>
                <w:rFonts w:ascii="Arial" w:hAnsi="Arial" w:cs="Arial"/>
                <w:sz w:val="18"/>
                <w:szCs w:val="18"/>
              </w:rPr>
              <w:t xml:space="preserve"> robót</w:t>
            </w:r>
            <w:r w:rsidRPr="003A602C">
              <w:rPr>
                <w:rFonts w:ascii="Arial" w:hAnsi="Arial" w:cs="Arial"/>
                <w:sz w:val="18"/>
                <w:szCs w:val="18"/>
              </w:rPr>
              <w:t>, n</w:t>
            </w:r>
            <w:r w:rsidR="003861E6" w:rsidRPr="003A602C">
              <w:rPr>
                <w:rFonts w:ascii="Arial" w:hAnsi="Arial" w:cs="Arial"/>
                <w:sz w:val="18"/>
                <w:szCs w:val="18"/>
              </w:rPr>
              <w:t>iezwłocznie po dokonaniu przedłużenia polisy</w:t>
            </w:r>
          </w:p>
        </w:tc>
      </w:tr>
      <w:tr w:rsidR="003861E6" w:rsidRPr="003A602C" w14:paraId="1CBBADE5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</w:tcPr>
          <w:p w14:paraId="13C1F28D" w14:textId="77777777" w:rsidR="00841526" w:rsidRPr="003A602C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82C359" w14:textId="77777777" w:rsidR="00841526" w:rsidRPr="003A602C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8CE2AE" w14:textId="77777777" w:rsidR="00841526" w:rsidRPr="003A602C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E113A3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Minimalna kwota ubezpieczenia </w:t>
            </w:r>
            <w:r w:rsidR="00841526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01" w:type="pct"/>
          </w:tcPr>
          <w:p w14:paraId="35BB39AB" w14:textId="77777777" w:rsidR="00841526" w:rsidRPr="003A602C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6AA02CB6" w14:textId="77777777" w:rsidR="00841526" w:rsidRPr="003A602C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1DE028EC" w14:textId="77777777" w:rsidR="00841526" w:rsidRPr="003A602C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3B8EA14E" w14:textId="77777777" w:rsidR="003861E6" w:rsidRPr="003A602C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18.</w:t>
            </w:r>
          </w:p>
        </w:tc>
        <w:tc>
          <w:tcPr>
            <w:tcW w:w="3578" w:type="pct"/>
          </w:tcPr>
          <w:p w14:paraId="69CEF052" w14:textId="77777777" w:rsidR="00251B34" w:rsidRPr="003A602C" w:rsidRDefault="00251B34" w:rsidP="009B5B65">
            <w:pPr>
              <w:pStyle w:val="Akapitzlist"/>
              <w:shd w:val="clear" w:color="auto" w:fill="EEECE1" w:themeFill="background2"/>
              <w:rPr>
                <w:rFonts w:ascii="Arial" w:hAnsi="Arial" w:cs="Arial"/>
                <w:color w:val="244061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244061"/>
                <w:sz w:val="18"/>
                <w:szCs w:val="18"/>
              </w:rPr>
              <w:t xml:space="preserve">na Część II. Sieci Wodociągowe </w:t>
            </w:r>
            <w:r w:rsidRPr="003A602C">
              <w:rPr>
                <w:rFonts w:ascii="Arial" w:hAnsi="Arial" w:cs="Arial"/>
                <w:b/>
                <w:color w:val="FF0000"/>
                <w:sz w:val="18"/>
                <w:szCs w:val="18"/>
              </w:rPr>
              <w:t>......................</w:t>
            </w:r>
            <w:r w:rsidR="00A2118A" w:rsidRPr="003A602C">
              <w:rPr>
                <w:rFonts w:ascii="Arial" w:hAnsi="Arial" w:cs="Arial"/>
                <w:b/>
                <w:color w:val="FF0000"/>
                <w:sz w:val="18"/>
                <w:szCs w:val="18"/>
              </w:rPr>
              <w:t>3</w:t>
            </w:r>
            <w:r w:rsidRPr="003A602C">
              <w:rPr>
                <w:rFonts w:ascii="Arial" w:hAnsi="Arial" w:cs="Arial"/>
                <w:b/>
                <w:color w:val="FF0000"/>
                <w:sz w:val="18"/>
                <w:szCs w:val="18"/>
              </w:rPr>
              <w:t>.000.000,00 zł (*)</w:t>
            </w:r>
          </w:p>
          <w:p w14:paraId="42E66277" w14:textId="77777777" w:rsidR="00251B34" w:rsidRPr="003A602C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za wypadek niezależnie od ilości zdarzeń</w:t>
            </w:r>
            <w:r w:rsidR="00841526" w:rsidRPr="003A602C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1B5C3F8E" w14:textId="77777777" w:rsidR="00841526" w:rsidRPr="003A602C" w:rsidRDefault="00841526" w:rsidP="009B5B65">
            <w:pPr>
              <w:pStyle w:val="Default"/>
              <w:rPr>
                <w:sz w:val="18"/>
                <w:szCs w:val="18"/>
              </w:rPr>
            </w:pPr>
            <w:r w:rsidRPr="003A602C">
              <w:rPr>
                <w:sz w:val="18"/>
                <w:szCs w:val="18"/>
              </w:rPr>
              <w:t xml:space="preserve"> </w:t>
            </w:r>
            <w:r w:rsidR="00C63E2A" w:rsidRPr="003A602C">
              <w:rPr>
                <w:sz w:val="18"/>
                <w:szCs w:val="18"/>
              </w:rPr>
              <w:t>(franczyza</w:t>
            </w:r>
            <w:r w:rsidR="005C3226" w:rsidRPr="003A602C">
              <w:rPr>
                <w:sz w:val="18"/>
                <w:szCs w:val="18"/>
              </w:rPr>
              <w:t xml:space="preserve"> redukcyjna</w:t>
            </w:r>
            <w:r w:rsidR="00C63E2A" w:rsidRPr="003A602C">
              <w:rPr>
                <w:sz w:val="18"/>
                <w:szCs w:val="18"/>
              </w:rPr>
              <w:t xml:space="preserve">) </w:t>
            </w:r>
            <w:r w:rsidRPr="003A602C">
              <w:rPr>
                <w:sz w:val="18"/>
                <w:szCs w:val="18"/>
              </w:rPr>
              <w:t xml:space="preserve">może wynosić maksymalnie 100 tys. zł. </w:t>
            </w:r>
          </w:p>
          <w:p w14:paraId="3CFEF9A3" w14:textId="77777777" w:rsidR="006B4B10" w:rsidRPr="003A602C" w:rsidRDefault="005C3226" w:rsidP="009B5B65">
            <w:pPr>
              <w:pStyle w:val="Default"/>
              <w:rPr>
                <w:sz w:val="18"/>
                <w:szCs w:val="18"/>
              </w:rPr>
            </w:pPr>
            <w:r w:rsidRPr="003A602C">
              <w:rPr>
                <w:sz w:val="18"/>
                <w:szCs w:val="18"/>
              </w:rPr>
              <w:t>Ubezpieczenie musi pokrywać szkody o wartości w przedziale od 100 tys</w:t>
            </w:r>
            <w:r w:rsidR="00A2118A" w:rsidRPr="003A602C">
              <w:rPr>
                <w:sz w:val="18"/>
                <w:szCs w:val="18"/>
              </w:rPr>
              <w:t>.</w:t>
            </w:r>
            <w:r w:rsidRPr="003A602C">
              <w:rPr>
                <w:sz w:val="18"/>
                <w:szCs w:val="18"/>
              </w:rPr>
              <w:t xml:space="preserve"> do </w:t>
            </w:r>
            <w:r w:rsidR="00A2118A" w:rsidRPr="003A602C">
              <w:rPr>
                <w:sz w:val="18"/>
                <w:szCs w:val="18"/>
              </w:rPr>
              <w:t>3</w:t>
            </w:r>
            <w:r w:rsidRPr="003A602C">
              <w:rPr>
                <w:sz w:val="18"/>
                <w:szCs w:val="18"/>
              </w:rPr>
              <w:t>.000.000 PLN</w:t>
            </w:r>
          </w:p>
        </w:tc>
      </w:tr>
      <w:tr w:rsidR="003861E6" w:rsidRPr="003A602C" w14:paraId="12437764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670AEF33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Data wyznaczenia Komisji Rozjemczej</w:t>
            </w:r>
          </w:p>
        </w:tc>
        <w:tc>
          <w:tcPr>
            <w:tcW w:w="601" w:type="pct"/>
            <w:vAlign w:val="center"/>
          </w:tcPr>
          <w:p w14:paraId="29875C88" w14:textId="77777777" w:rsidR="003861E6" w:rsidRPr="003A602C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3578" w:type="pct"/>
            <w:vAlign w:val="center"/>
          </w:tcPr>
          <w:p w14:paraId="48F5A18D" w14:textId="77777777" w:rsidR="003861E6" w:rsidRPr="003A602C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W ciągu </w:t>
            </w:r>
            <w:r w:rsidR="00C63E2A" w:rsidRPr="003A602C">
              <w:rPr>
                <w:rFonts w:ascii="Arial" w:hAnsi="Arial" w:cs="Arial"/>
                <w:sz w:val="18"/>
                <w:szCs w:val="18"/>
              </w:rPr>
              <w:t xml:space="preserve">21 </w:t>
            </w:r>
            <w:r w:rsidRPr="003A602C">
              <w:rPr>
                <w:rFonts w:ascii="Arial" w:hAnsi="Arial" w:cs="Arial"/>
                <w:sz w:val="18"/>
                <w:szCs w:val="18"/>
              </w:rPr>
              <w:t>dni po tym, kiedy jedna ze Stron da drugiej Stronie powiadomienie o swoim zamiarze wniesienia jakiegoś sporu do Komisji Rozjemczej zgodnie z klauzulą 20.4.</w:t>
            </w:r>
          </w:p>
        </w:tc>
      </w:tr>
      <w:tr w:rsidR="003861E6" w:rsidRPr="003A602C" w14:paraId="7D103183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4147F0A6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Liczba członków Komisji Rozjemczej</w:t>
            </w:r>
          </w:p>
        </w:tc>
        <w:tc>
          <w:tcPr>
            <w:tcW w:w="601" w:type="pct"/>
            <w:vAlign w:val="center"/>
          </w:tcPr>
          <w:p w14:paraId="7FE7E86B" w14:textId="77777777" w:rsidR="003861E6" w:rsidRPr="003A602C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3578" w:type="pct"/>
            <w:vAlign w:val="center"/>
          </w:tcPr>
          <w:p w14:paraId="7ECC4216" w14:textId="77777777" w:rsidR="006B4B10" w:rsidRPr="003A602C" w:rsidRDefault="00C63E2A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3 osoby, w tym 2 członkowie o wykształceniu wyższym technicznym reprezentujący </w:t>
            </w:r>
            <w:r w:rsidR="00FD4BCE" w:rsidRPr="003A602C">
              <w:rPr>
                <w:rFonts w:ascii="Arial" w:hAnsi="Arial" w:cs="Arial"/>
                <w:sz w:val="18"/>
                <w:szCs w:val="18"/>
              </w:rPr>
              <w:t xml:space="preserve">każdą </w:t>
            </w:r>
            <w:r w:rsidRPr="003A602C">
              <w:rPr>
                <w:rFonts w:ascii="Arial" w:hAnsi="Arial" w:cs="Arial"/>
                <w:sz w:val="18"/>
                <w:szCs w:val="18"/>
              </w:rPr>
              <w:t>ze stron i jeden Przewodniczący z wykształceniem prawniczym (osoba neutralna zaakceptowana przez obie strony).</w:t>
            </w:r>
            <w:r w:rsidR="003861E6" w:rsidRPr="003A602C">
              <w:rPr>
                <w:rFonts w:ascii="Arial" w:hAnsi="Arial" w:cs="Arial"/>
                <w:color w:val="FF00FF"/>
                <w:sz w:val="18"/>
                <w:szCs w:val="18"/>
              </w:rPr>
              <w:t xml:space="preserve"> </w:t>
            </w:r>
          </w:p>
        </w:tc>
      </w:tr>
      <w:tr w:rsidR="003861E6" w:rsidRPr="003A602C" w14:paraId="0D19FF21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7148619A" w14:textId="77777777" w:rsidR="003861E6" w:rsidRPr="003A602C" w:rsidRDefault="00C63E2A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Arbitraż </w:t>
            </w:r>
          </w:p>
        </w:tc>
        <w:tc>
          <w:tcPr>
            <w:tcW w:w="601" w:type="pct"/>
            <w:vAlign w:val="center"/>
          </w:tcPr>
          <w:p w14:paraId="00D54A42" w14:textId="77777777" w:rsidR="003861E6" w:rsidRPr="003A602C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20.</w:t>
            </w:r>
            <w:r w:rsidR="00C63E2A" w:rsidRPr="003A602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78" w:type="pct"/>
            <w:vAlign w:val="center"/>
          </w:tcPr>
          <w:p w14:paraId="118E7C74" w14:textId="77777777" w:rsidR="00C63E2A" w:rsidRPr="003A602C" w:rsidRDefault="00C63E2A" w:rsidP="009B5B65">
            <w:pPr>
              <w:pStyle w:val="Default"/>
              <w:rPr>
                <w:sz w:val="18"/>
                <w:szCs w:val="18"/>
              </w:rPr>
            </w:pPr>
            <w:r w:rsidRPr="003A602C">
              <w:rPr>
                <w:sz w:val="18"/>
                <w:szCs w:val="18"/>
              </w:rPr>
              <w:t>Spory</w:t>
            </w:r>
            <w:r w:rsidR="00FE50F3">
              <w:rPr>
                <w:sz w:val="18"/>
                <w:szCs w:val="18"/>
              </w:rPr>
              <w:t>,</w:t>
            </w:r>
            <w:r w:rsidRPr="003A602C">
              <w:rPr>
                <w:sz w:val="18"/>
                <w:szCs w:val="18"/>
              </w:rPr>
              <w:t xml:space="preserve"> które nie zostały rozstrzygnięte polubownie lub Strona</w:t>
            </w:r>
            <w:r w:rsidR="00FE50F3">
              <w:rPr>
                <w:sz w:val="18"/>
                <w:szCs w:val="18"/>
              </w:rPr>
              <w:t>,</w:t>
            </w:r>
            <w:r w:rsidRPr="003A602C">
              <w:rPr>
                <w:sz w:val="18"/>
                <w:szCs w:val="18"/>
              </w:rPr>
              <w:t xml:space="preserve"> która nie zgadza się z decyzją Komisji Rozjemczej wniosła skutecznie swój Protest tam spory będą ostatecznie rozstrzygane przez Sąd arbitrażowy działający przy Stowarzyszeniu Inżynierów Doradców i </w:t>
            </w:r>
            <w:r w:rsidRPr="003A602C">
              <w:rPr>
                <w:color w:val="auto"/>
                <w:sz w:val="18"/>
                <w:szCs w:val="18"/>
              </w:rPr>
              <w:t>Rzeczoznawców (SIDIR) w Warszawie na podstawie Regulaminu tego sądu obowiązującego w dacie zawarcia Umowy z Wykonawcą</w:t>
            </w:r>
            <w:r w:rsidR="000E77DD" w:rsidRPr="003A602C">
              <w:rPr>
                <w:color w:val="auto"/>
                <w:sz w:val="18"/>
                <w:szCs w:val="18"/>
              </w:rPr>
              <w:t>.</w:t>
            </w:r>
          </w:p>
          <w:p w14:paraId="224923A5" w14:textId="77777777" w:rsidR="003861E6" w:rsidRPr="003A602C" w:rsidRDefault="000E77DD" w:rsidP="009B5B65">
            <w:pPr>
              <w:pStyle w:val="Default"/>
              <w:pBdr>
                <w:top w:val="single" w:sz="12" w:space="1" w:color="FF0000"/>
                <w:left w:val="single" w:sz="12" w:space="4" w:color="FF0000"/>
                <w:bottom w:val="single" w:sz="12" w:space="1" w:color="FF0000"/>
                <w:right w:val="single" w:sz="12" w:space="4" w:color="FF0000"/>
              </w:pBdr>
              <w:shd w:val="clear" w:color="auto" w:fill="FFFFFF" w:themeFill="background1"/>
              <w:rPr>
                <w:i/>
                <w:color w:val="0000CC"/>
                <w:sz w:val="18"/>
                <w:szCs w:val="18"/>
              </w:rPr>
            </w:pPr>
            <w:r w:rsidRPr="003A602C">
              <w:rPr>
                <w:i/>
                <w:color w:val="0000CC"/>
                <w:sz w:val="18"/>
                <w:szCs w:val="18"/>
              </w:rPr>
              <w:t>"Strona wygrywająca spór uprawniona jest o zwrócenie się o nadanie klauzuli wykonalności wyroku sądu Arbitrażowego do Sądu Powszechnego właściwego miejscowo dla siedziby Zamawiającego.</w:t>
            </w:r>
          </w:p>
          <w:p w14:paraId="6AE92414" w14:textId="77777777" w:rsidR="00CA05D4" w:rsidRPr="003A602C" w:rsidRDefault="00CA05D4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Strony mogą się też umówić, że każdy spór w zależności od rodzaju i stopnia 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>skomplikowania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będzie rozstrzygany indywidualnie na co każda ze stron musi wyrazić zgodę. np. sprawy proste będą mogły 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>być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rozstrzygane przez  Sąd Powszechny właściwy miejscowo dla siedziby Zamawiającego  a sprawy trudne wymagające specjalistycznej wiedzy  będą kierowane do Arbitrażu.</w:t>
            </w:r>
          </w:p>
        </w:tc>
      </w:tr>
    </w:tbl>
    <w:p w14:paraId="395D476A" w14:textId="77777777" w:rsidR="00F32D0C" w:rsidRPr="003A602C" w:rsidRDefault="00F32D0C" w:rsidP="00867334">
      <w:pPr>
        <w:spacing w:before="360" w:line="276" w:lineRule="auto"/>
        <w:ind w:right="-108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Podpis</w:t>
      </w:r>
      <w:r w:rsidR="00374F4F" w:rsidRPr="003A602C">
        <w:rPr>
          <w:rFonts w:ascii="Arial" w:hAnsi="Arial" w:cs="Arial"/>
          <w:sz w:val="18"/>
          <w:szCs w:val="18"/>
        </w:rPr>
        <w:t xml:space="preserve"> osoby reprezentującej Wykonawcę (czytelny)</w:t>
      </w:r>
      <w:r w:rsidRPr="003A602C"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:.............................................................................................................................</w:t>
      </w:r>
      <w:r w:rsidR="00374F4F" w:rsidRPr="003A602C">
        <w:rPr>
          <w:rFonts w:ascii="Arial" w:hAnsi="Arial" w:cs="Arial"/>
          <w:sz w:val="18"/>
          <w:szCs w:val="18"/>
        </w:rPr>
        <w:t>.....</w:t>
      </w:r>
    </w:p>
    <w:p w14:paraId="4A8990B6" w14:textId="77777777" w:rsidR="00374F4F" w:rsidRPr="003A602C" w:rsidRDefault="00374F4F" w:rsidP="00867334">
      <w:pPr>
        <w:spacing w:before="360" w:line="276" w:lineRule="auto"/>
        <w:ind w:right="-108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Pieczęć Wykonawcy ...................................................................................................................</w:t>
      </w:r>
    </w:p>
    <w:p w14:paraId="1A8182D7" w14:textId="77777777" w:rsidR="00F32D0C" w:rsidRPr="003A602C" w:rsidRDefault="00F32D0C" w:rsidP="00867334">
      <w:pPr>
        <w:spacing w:before="120" w:line="276" w:lineRule="auto"/>
        <w:ind w:right="-425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występujący w charakterze:.................................................................................................</w:t>
      </w:r>
      <w:r w:rsidR="00374F4F" w:rsidRPr="003A602C">
        <w:rPr>
          <w:rFonts w:ascii="Arial" w:hAnsi="Arial" w:cs="Arial"/>
          <w:sz w:val="18"/>
          <w:szCs w:val="18"/>
        </w:rPr>
        <w:t>.......</w:t>
      </w:r>
    </w:p>
    <w:p w14:paraId="75853B15" w14:textId="77777777" w:rsidR="00F32D0C" w:rsidRPr="003A602C" w:rsidRDefault="00F32D0C" w:rsidP="00867334">
      <w:pPr>
        <w:spacing w:before="120" w:line="276" w:lineRule="auto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należycie upoważniony do podpisania oferty w imieniu i na rzecz</w:t>
      </w:r>
      <w:r w:rsidR="00374F4F" w:rsidRPr="003A602C">
        <w:rPr>
          <w:rFonts w:ascii="Arial" w:hAnsi="Arial" w:cs="Arial"/>
          <w:sz w:val="18"/>
          <w:szCs w:val="18"/>
        </w:rPr>
        <w:t xml:space="preserve"> Wykonawcy</w:t>
      </w:r>
      <w:r w:rsidRPr="003A602C">
        <w:rPr>
          <w:rFonts w:ascii="Arial" w:hAnsi="Arial" w:cs="Arial"/>
          <w:sz w:val="18"/>
          <w:szCs w:val="18"/>
        </w:rPr>
        <w:t>:</w:t>
      </w:r>
    </w:p>
    <w:p w14:paraId="133891B0" w14:textId="77777777" w:rsidR="00F32D0C" w:rsidRPr="003A602C" w:rsidRDefault="00F32D0C" w:rsidP="00867334">
      <w:pPr>
        <w:spacing w:before="80" w:line="276" w:lineRule="auto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7C39C68E" w14:textId="77777777" w:rsidR="00B6149F" w:rsidRPr="003A602C" w:rsidRDefault="00F32D0C" w:rsidP="00867334">
      <w:pPr>
        <w:spacing w:before="120" w:line="276" w:lineRule="auto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lastRenderedPageBreak/>
        <w:t>Data: ...............................</w:t>
      </w:r>
    </w:p>
    <w:p w14:paraId="4F832993" w14:textId="77777777" w:rsidR="00374F4F" w:rsidRPr="003A602C" w:rsidRDefault="00374F4F" w:rsidP="00867334">
      <w:pPr>
        <w:spacing w:before="120" w:line="276" w:lineRule="auto"/>
        <w:rPr>
          <w:rFonts w:ascii="Arial" w:hAnsi="Arial" w:cs="Arial"/>
          <w:color w:val="FF0000"/>
          <w:sz w:val="18"/>
          <w:szCs w:val="18"/>
        </w:rPr>
      </w:pPr>
      <w:r w:rsidRPr="003A602C">
        <w:rPr>
          <w:rFonts w:ascii="Arial" w:hAnsi="Arial" w:cs="Arial"/>
          <w:color w:val="FF0000"/>
          <w:sz w:val="18"/>
          <w:szCs w:val="18"/>
        </w:rPr>
        <w:t>Uwaga! Załącznik do oferty należy zaparafować na każdej stronie i złożyć jako integraln</w:t>
      </w:r>
      <w:r w:rsidR="003A602C" w:rsidRPr="003A602C">
        <w:rPr>
          <w:rFonts w:ascii="Arial" w:hAnsi="Arial" w:cs="Arial"/>
          <w:color w:val="FF0000"/>
          <w:sz w:val="18"/>
          <w:szCs w:val="18"/>
        </w:rPr>
        <w:t>ą</w:t>
      </w:r>
      <w:r w:rsidRPr="003A602C">
        <w:rPr>
          <w:rFonts w:ascii="Arial" w:hAnsi="Arial" w:cs="Arial"/>
          <w:color w:val="FF0000"/>
          <w:sz w:val="18"/>
          <w:szCs w:val="18"/>
        </w:rPr>
        <w:t xml:space="preserve"> część Formularza ofertowego </w:t>
      </w:r>
      <w:r w:rsidR="00192E8D" w:rsidRPr="003A602C">
        <w:rPr>
          <w:rFonts w:ascii="Arial" w:hAnsi="Arial" w:cs="Arial"/>
          <w:color w:val="FF0000"/>
          <w:sz w:val="18"/>
          <w:szCs w:val="18"/>
        </w:rPr>
        <w:t xml:space="preserve"> </w:t>
      </w:r>
      <w:r w:rsidRPr="003A602C">
        <w:rPr>
          <w:rFonts w:ascii="Arial" w:hAnsi="Arial" w:cs="Arial"/>
          <w:color w:val="FF0000"/>
          <w:sz w:val="18"/>
          <w:szCs w:val="18"/>
        </w:rPr>
        <w:t xml:space="preserve"> </w:t>
      </w:r>
    </w:p>
    <w:sectPr w:rsidR="00374F4F" w:rsidRPr="003A602C" w:rsidSect="00867334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30C5D" w14:textId="77777777" w:rsidR="00CE3D3D" w:rsidRDefault="00CE3D3D">
      <w:r>
        <w:separator/>
      </w:r>
    </w:p>
  </w:endnote>
  <w:endnote w:type="continuationSeparator" w:id="0">
    <w:p w14:paraId="253C36C7" w14:textId="77777777" w:rsidR="00CE3D3D" w:rsidRDefault="00CE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370109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381BC2DA" w14:textId="77777777" w:rsidR="00FE54E5" w:rsidRDefault="00FE54E5">
            <w:pPr>
              <w:pStyle w:val="Stopka"/>
              <w:jc w:val="center"/>
            </w:pPr>
          </w:p>
          <w:p w14:paraId="1C0EE590" w14:textId="77777777" w:rsidR="00FE54E5" w:rsidRDefault="00FE54E5">
            <w:pPr>
              <w:pStyle w:val="Stopka"/>
              <w:jc w:val="center"/>
            </w:pPr>
          </w:p>
          <w:p w14:paraId="028979EB" w14:textId="77777777" w:rsidR="00FE54E5" w:rsidRDefault="00FE54E5" w:rsidP="000E77DD">
            <w:pPr>
              <w:pStyle w:val="Stopka"/>
              <w:pBdr>
                <w:top w:val="single" w:sz="4" w:space="1" w:color="E36C0A" w:themeColor="accent6" w:themeShade="BF"/>
              </w:pBdr>
              <w:jc w:val="center"/>
            </w:pPr>
            <w:r w:rsidRPr="000E77DD">
              <w:rPr>
                <w:rFonts w:ascii="Arial" w:hAnsi="Arial" w:cs="Arial"/>
                <w:sz w:val="20"/>
              </w:rPr>
              <w:t xml:space="preserve">Strona </w:t>
            </w:r>
            <w:r w:rsidRPr="000E77DD">
              <w:rPr>
                <w:rFonts w:ascii="Arial" w:hAnsi="Arial" w:cs="Arial"/>
                <w:b/>
                <w:sz w:val="20"/>
              </w:rPr>
              <w:fldChar w:fldCharType="begin"/>
            </w:r>
            <w:r w:rsidRPr="000E77DD">
              <w:rPr>
                <w:rFonts w:ascii="Arial" w:hAnsi="Arial" w:cs="Arial"/>
                <w:b/>
                <w:sz w:val="20"/>
              </w:rPr>
              <w:instrText>PAGE</w:instrText>
            </w:r>
            <w:r w:rsidRPr="000E77DD">
              <w:rPr>
                <w:rFonts w:ascii="Arial" w:hAnsi="Arial" w:cs="Arial"/>
                <w:b/>
                <w:sz w:val="20"/>
              </w:rPr>
              <w:fldChar w:fldCharType="separate"/>
            </w:r>
            <w:r w:rsidR="00790146">
              <w:rPr>
                <w:rFonts w:ascii="Arial" w:hAnsi="Arial" w:cs="Arial"/>
                <w:b/>
                <w:noProof/>
                <w:sz w:val="20"/>
              </w:rPr>
              <w:t>8</w:t>
            </w:r>
            <w:r w:rsidRPr="000E77DD">
              <w:rPr>
                <w:rFonts w:ascii="Arial" w:hAnsi="Arial" w:cs="Arial"/>
                <w:b/>
                <w:sz w:val="20"/>
              </w:rPr>
              <w:fldChar w:fldCharType="end"/>
            </w:r>
            <w:r w:rsidRPr="000E77DD">
              <w:rPr>
                <w:rFonts w:ascii="Arial" w:hAnsi="Arial" w:cs="Arial"/>
                <w:sz w:val="20"/>
              </w:rPr>
              <w:t xml:space="preserve"> z </w:t>
            </w:r>
            <w:r w:rsidRPr="000E77DD">
              <w:rPr>
                <w:rFonts w:ascii="Arial" w:hAnsi="Arial" w:cs="Arial"/>
                <w:b/>
                <w:sz w:val="20"/>
              </w:rPr>
              <w:fldChar w:fldCharType="begin"/>
            </w:r>
            <w:r w:rsidRPr="000E77DD">
              <w:rPr>
                <w:rFonts w:ascii="Arial" w:hAnsi="Arial" w:cs="Arial"/>
                <w:b/>
                <w:sz w:val="20"/>
              </w:rPr>
              <w:instrText>NUMPAGES</w:instrText>
            </w:r>
            <w:r w:rsidRPr="000E77DD">
              <w:rPr>
                <w:rFonts w:ascii="Arial" w:hAnsi="Arial" w:cs="Arial"/>
                <w:b/>
                <w:sz w:val="20"/>
              </w:rPr>
              <w:fldChar w:fldCharType="separate"/>
            </w:r>
            <w:r w:rsidR="00790146">
              <w:rPr>
                <w:rFonts w:ascii="Arial" w:hAnsi="Arial" w:cs="Arial"/>
                <w:b/>
                <w:noProof/>
                <w:sz w:val="20"/>
              </w:rPr>
              <w:t>8</w:t>
            </w:r>
            <w:r w:rsidRPr="000E77DD">
              <w:rPr>
                <w:rFonts w:ascii="Arial" w:hAnsi="Arial" w:cs="Arial"/>
                <w:b/>
                <w:sz w:val="20"/>
              </w:rPr>
              <w:fldChar w:fldCharType="end"/>
            </w:r>
          </w:p>
        </w:sdtContent>
      </w:sdt>
    </w:sdtContent>
  </w:sdt>
  <w:p w14:paraId="6F16CD1D" w14:textId="77777777" w:rsidR="00FE54E5" w:rsidRDefault="00FE54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34D54" w14:textId="77777777" w:rsidR="00CE3D3D" w:rsidRDefault="00CE3D3D">
      <w:r>
        <w:separator/>
      </w:r>
    </w:p>
  </w:footnote>
  <w:footnote w:type="continuationSeparator" w:id="0">
    <w:p w14:paraId="166FA500" w14:textId="77777777" w:rsidR="00CE3D3D" w:rsidRDefault="00CE3D3D">
      <w:r>
        <w:continuationSeparator/>
      </w:r>
    </w:p>
  </w:footnote>
  <w:footnote w:id="1">
    <w:p w14:paraId="574B2850" w14:textId="77777777" w:rsidR="00FE54E5" w:rsidRPr="00BF09BB" w:rsidRDefault="00FE54E5" w:rsidP="0083291A">
      <w:pPr>
        <w:pStyle w:val="Tekstprzypisudolnego"/>
        <w:spacing w:after="480"/>
        <w:ind w:left="284" w:hanging="284"/>
        <w:rPr>
          <w:rFonts w:ascii="Arial" w:hAnsi="Arial" w:cs="Arial"/>
          <w:b/>
        </w:rPr>
      </w:pPr>
      <w:r w:rsidRPr="00BF09BB">
        <w:rPr>
          <w:rStyle w:val="FootnoteCharacters"/>
          <w:rFonts w:ascii="Arial" w:hAnsi="Arial" w:cs="Arial"/>
          <w:b/>
        </w:rPr>
        <w:footnoteRef/>
      </w:r>
      <w:r w:rsidRPr="00BF09BB">
        <w:rPr>
          <w:rFonts w:ascii="Arial" w:hAnsi="Arial" w:cs="Arial"/>
          <w:b/>
        </w:rPr>
        <w:tab/>
        <w:t xml:space="preserve"> </w:t>
      </w:r>
      <w:r w:rsidRPr="00BF09BB">
        <w:rPr>
          <w:rFonts w:ascii="Arial" w:hAnsi="Arial" w:cs="Arial"/>
          <w:sz w:val="16"/>
          <w:szCs w:val="16"/>
        </w:rPr>
        <w:t>Wykonawca modeluje tabelę poniżej w zależności od swojego składu</w:t>
      </w:r>
    </w:p>
  </w:footnote>
  <w:footnote w:id="2">
    <w:p w14:paraId="795671EE" w14:textId="77777777" w:rsidR="00FE54E5" w:rsidRPr="00C06186" w:rsidRDefault="00FE54E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132B66">
        <w:rPr>
          <w:rFonts w:ascii="Arial" w:hAnsi="Arial" w:cs="Arial"/>
          <w:sz w:val="18"/>
          <w:szCs w:val="18"/>
          <w:lang w:val="pl-PL"/>
        </w:rPr>
        <w:t>określonej w Akcie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083EC" w14:textId="77777777" w:rsidR="00FE54E5" w:rsidRPr="001B3075" w:rsidRDefault="00FE54E5" w:rsidP="00CD0562">
    <w:pPr>
      <w:pStyle w:val="Nagwek"/>
      <w:pBdr>
        <w:bottom w:val="single" w:sz="4" w:space="1" w:color="FF0000"/>
      </w:pBdr>
      <w:jc w:val="center"/>
      <w:rPr>
        <w:rFonts w:cs="Arial"/>
        <w:color w:val="0000CC"/>
      </w:rPr>
    </w:pPr>
    <w:r w:rsidRPr="005058F4">
      <w:rPr>
        <w:rFonts w:cs="Arial"/>
        <w:b/>
        <w:sz w:val="24"/>
        <w:szCs w:val="24"/>
      </w:rPr>
      <w:t xml:space="preserve">ZAŁĄCZNIK nr </w:t>
    </w:r>
    <w:r w:rsidRPr="005058F4">
      <w:rPr>
        <w:rStyle w:val="Numerstrony"/>
        <w:rFonts w:cs="Arial"/>
        <w:sz w:val="24"/>
        <w:szCs w:val="24"/>
      </w:rPr>
      <w:t xml:space="preserve"> 2. DO SIWZ IDW</w:t>
    </w:r>
    <w:r>
      <w:rPr>
        <w:rStyle w:val="Numerstrony"/>
        <w:rFonts w:cs="Arial"/>
        <w:sz w:val="24"/>
        <w:szCs w:val="24"/>
      </w:rPr>
      <w:t xml:space="preserve">                     </w:t>
    </w:r>
    <w:r>
      <w:rPr>
        <w:rStyle w:val="Numerstrony"/>
        <w:rFonts w:cs="Arial"/>
        <w:szCs w:val="24"/>
      </w:rPr>
      <w:t xml:space="preserve"> </w:t>
    </w:r>
    <w:r w:rsidRPr="005058F4">
      <w:rPr>
        <w:rFonts w:cs="Arial"/>
        <w:b/>
        <w:bCs/>
        <w:color w:val="FF0000"/>
      </w:rPr>
      <w:t>Znak sprawy</w:t>
    </w:r>
    <w:r>
      <w:rPr>
        <w:rFonts w:cs="Arial"/>
        <w:b/>
        <w:bCs/>
        <w:color w:val="FF0000"/>
      </w:rPr>
      <w:t>: ZP14/POIIS/2019</w:t>
    </w:r>
  </w:p>
  <w:p w14:paraId="7A41D6E3" w14:textId="77777777" w:rsidR="00FE54E5" w:rsidRPr="00CD0562" w:rsidRDefault="00FE54E5" w:rsidP="000E77DD">
    <w:pPr>
      <w:pStyle w:val="Akapitzlist"/>
      <w:pBdr>
        <w:bottom w:val="single" w:sz="4" w:space="1" w:color="E36C0A" w:themeColor="accent6" w:themeShade="BF"/>
      </w:pBdr>
      <w:ind w:left="0"/>
      <w:jc w:val="center"/>
      <w:rPr>
        <w:rFonts w:ascii="Arial" w:hAnsi="Arial" w:cs="Arial"/>
        <w:szCs w:val="24"/>
      </w:rPr>
    </w:pPr>
    <w:r w:rsidRPr="005058F4">
      <w:rPr>
        <w:rStyle w:val="Numerstrony"/>
        <w:rFonts w:ascii="Arial" w:hAnsi="Arial" w:cs="Arial"/>
        <w:szCs w:val="24"/>
      </w:rPr>
      <w:tab/>
    </w:r>
    <w:r w:rsidRPr="005058F4">
      <w:rPr>
        <w:rStyle w:val="Numerstrony"/>
        <w:rFonts w:ascii="Arial" w:hAnsi="Arial" w:cs="Arial"/>
        <w:szCs w:val="24"/>
      </w:rPr>
      <w:tab/>
      <w:t xml:space="preserve"> </w:t>
    </w:r>
  </w:p>
  <w:p w14:paraId="4ADDC0B8" w14:textId="77777777" w:rsidR="00FE54E5" w:rsidRDefault="00FE54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BD10264_"/>
      </v:shape>
    </w:pict>
  </w:numPicBullet>
  <w:abstractNum w:abstractNumId="0" w15:restartNumberingAfterBreak="0">
    <w:nsid w:val="021C27BD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D5A6E"/>
    <w:multiLevelType w:val="hybridMultilevel"/>
    <w:tmpl w:val="DBFC05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E513E2"/>
    <w:multiLevelType w:val="hybridMultilevel"/>
    <w:tmpl w:val="14C4FD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70C82"/>
    <w:multiLevelType w:val="hybridMultilevel"/>
    <w:tmpl w:val="EF0C2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747D8"/>
    <w:multiLevelType w:val="hybridMultilevel"/>
    <w:tmpl w:val="B4AA8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11C27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B10C4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57B4F"/>
    <w:multiLevelType w:val="hybridMultilevel"/>
    <w:tmpl w:val="A82C4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F1EFB"/>
    <w:multiLevelType w:val="hybridMultilevel"/>
    <w:tmpl w:val="8716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1C13"/>
    <w:multiLevelType w:val="hybridMultilevel"/>
    <w:tmpl w:val="B5E83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936F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9E1452"/>
    <w:multiLevelType w:val="multilevel"/>
    <w:tmpl w:val="0A50FB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2EA6C95"/>
    <w:multiLevelType w:val="hybridMultilevel"/>
    <w:tmpl w:val="C8586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4F72"/>
    <w:multiLevelType w:val="hybridMultilevel"/>
    <w:tmpl w:val="3A646C5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0D036C0"/>
    <w:multiLevelType w:val="hybridMultilevel"/>
    <w:tmpl w:val="F3ACB7A8"/>
    <w:lvl w:ilvl="0" w:tplc="F60EFD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510CB"/>
    <w:multiLevelType w:val="hybridMultilevel"/>
    <w:tmpl w:val="004C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C5DC1"/>
    <w:multiLevelType w:val="multilevel"/>
    <w:tmpl w:val="7652B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16019E4"/>
    <w:multiLevelType w:val="hybridMultilevel"/>
    <w:tmpl w:val="C6C4C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05353B"/>
    <w:multiLevelType w:val="hybridMultilevel"/>
    <w:tmpl w:val="90905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D2824"/>
    <w:multiLevelType w:val="hybridMultilevel"/>
    <w:tmpl w:val="3FBC8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61522"/>
    <w:multiLevelType w:val="hybridMultilevel"/>
    <w:tmpl w:val="EEF4AF16"/>
    <w:lvl w:ilvl="0" w:tplc="262836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94C7D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12"/>
  </w:num>
  <w:num w:numId="6">
    <w:abstractNumId w:val="3"/>
  </w:num>
  <w:num w:numId="7">
    <w:abstractNumId w:val="7"/>
  </w:num>
  <w:num w:numId="8">
    <w:abstractNumId w:val="20"/>
  </w:num>
  <w:num w:numId="9">
    <w:abstractNumId w:val="18"/>
  </w:num>
  <w:num w:numId="10">
    <w:abstractNumId w:val="19"/>
  </w:num>
  <w:num w:numId="11">
    <w:abstractNumId w:val="14"/>
  </w:num>
  <w:num w:numId="12">
    <w:abstractNumId w:val="21"/>
  </w:num>
  <w:num w:numId="13">
    <w:abstractNumId w:val="9"/>
  </w:num>
  <w:num w:numId="14">
    <w:abstractNumId w:val="8"/>
  </w:num>
  <w:num w:numId="15">
    <w:abstractNumId w:val="2"/>
  </w:num>
  <w:num w:numId="16">
    <w:abstractNumId w:val="6"/>
  </w:num>
  <w:num w:numId="17">
    <w:abstractNumId w:val="4"/>
  </w:num>
  <w:num w:numId="18">
    <w:abstractNumId w:val="13"/>
  </w:num>
  <w:num w:numId="19">
    <w:abstractNumId w:val="15"/>
  </w:num>
  <w:num w:numId="20">
    <w:abstractNumId w:val="5"/>
  </w:num>
  <w:num w:numId="21">
    <w:abstractNumId w:val="0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n-GB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A49"/>
    <w:rsid w:val="00004659"/>
    <w:rsid w:val="000050CD"/>
    <w:rsid w:val="00011C19"/>
    <w:rsid w:val="00040262"/>
    <w:rsid w:val="00041742"/>
    <w:rsid w:val="00046BD5"/>
    <w:rsid w:val="0005189F"/>
    <w:rsid w:val="00056579"/>
    <w:rsid w:val="000605DF"/>
    <w:rsid w:val="000628BE"/>
    <w:rsid w:val="00091D63"/>
    <w:rsid w:val="0009359E"/>
    <w:rsid w:val="000A04C5"/>
    <w:rsid w:val="000A106B"/>
    <w:rsid w:val="000B238E"/>
    <w:rsid w:val="000B6EE2"/>
    <w:rsid w:val="000D11A0"/>
    <w:rsid w:val="000E230A"/>
    <w:rsid w:val="000E5C7F"/>
    <w:rsid w:val="000E77DD"/>
    <w:rsid w:val="000E785C"/>
    <w:rsid w:val="000F1533"/>
    <w:rsid w:val="00103F78"/>
    <w:rsid w:val="00106F64"/>
    <w:rsid w:val="00112D7F"/>
    <w:rsid w:val="00117295"/>
    <w:rsid w:val="00132B66"/>
    <w:rsid w:val="00133D16"/>
    <w:rsid w:val="00165816"/>
    <w:rsid w:val="0017001D"/>
    <w:rsid w:val="00192E8D"/>
    <w:rsid w:val="001A2DFC"/>
    <w:rsid w:val="001A37E6"/>
    <w:rsid w:val="001A5E1A"/>
    <w:rsid w:val="001B3075"/>
    <w:rsid w:val="001B5158"/>
    <w:rsid w:val="001C1611"/>
    <w:rsid w:val="001D1744"/>
    <w:rsid w:val="001E143B"/>
    <w:rsid w:val="001E3513"/>
    <w:rsid w:val="001E53DD"/>
    <w:rsid w:val="001F27F3"/>
    <w:rsid w:val="00212F9B"/>
    <w:rsid w:val="00225FA8"/>
    <w:rsid w:val="00227510"/>
    <w:rsid w:val="00251B34"/>
    <w:rsid w:val="0026785C"/>
    <w:rsid w:val="002769B5"/>
    <w:rsid w:val="00277641"/>
    <w:rsid w:val="002942FD"/>
    <w:rsid w:val="002A4890"/>
    <w:rsid w:val="002A54A4"/>
    <w:rsid w:val="002E60B3"/>
    <w:rsid w:val="003009F2"/>
    <w:rsid w:val="00301B5E"/>
    <w:rsid w:val="0030381D"/>
    <w:rsid w:val="00322835"/>
    <w:rsid w:val="00325CEE"/>
    <w:rsid w:val="003327A3"/>
    <w:rsid w:val="00354467"/>
    <w:rsid w:val="00354F1A"/>
    <w:rsid w:val="0035641A"/>
    <w:rsid w:val="0036748A"/>
    <w:rsid w:val="00374F4F"/>
    <w:rsid w:val="0037507C"/>
    <w:rsid w:val="00381688"/>
    <w:rsid w:val="003861E6"/>
    <w:rsid w:val="003911A7"/>
    <w:rsid w:val="00395B1C"/>
    <w:rsid w:val="003A602C"/>
    <w:rsid w:val="003B7280"/>
    <w:rsid w:val="003C0EF9"/>
    <w:rsid w:val="003F3DB5"/>
    <w:rsid w:val="004074CF"/>
    <w:rsid w:val="00415EB5"/>
    <w:rsid w:val="0044611A"/>
    <w:rsid w:val="004549ED"/>
    <w:rsid w:val="00490F24"/>
    <w:rsid w:val="004B1A49"/>
    <w:rsid w:val="004B5CB0"/>
    <w:rsid w:val="004E1613"/>
    <w:rsid w:val="004E74C5"/>
    <w:rsid w:val="004F2BD6"/>
    <w:rsid w:val="004F5145"/>
    <w:rsid w:val="004F53F1"/>
    <w:rsid w:val="00503412"/>
    <w:rsid w:val="005058F4"/>
    <w:rsid w:val="00506614"/>
    <w:rsid w:val="00552596"/>
    <w:rsid w:val="005631D6"/>
    <w:rsid w:val="00565FB6"/>
    <w:rsid w:val="00571999"/>
    <w:rsid w:val="00575AFE"/>
    <w:rsid w:val="00577C3A"/>
    <w:rsid w:val="005A1AEE"/>
    <w:rsid w:val="005A585A"/>
    <w:rsid w:val="005B0689"/>
    <w:rsid w:val="005B5311"/>
    <w:rsid w:val="005B5E7E"/>
    <w:rsid w:val="005C3226"/>
    <w:rsid w:val="00606D4B"/>
    <w:rsid w:val="00633127"/>
    <w:rsid w:val="00651CBB"/>
    <w:rsid w:val="00656F5F"/>
    <w:rsid w:val="0066053E"/>
    <w:rsid w:val="00663589"/>
    <w:rsid w:val="00674B53"/>
    <w:rsid w:val="00680886"/>
    <w:rsid w:val="00681347"/>
    <w:rsid w:val="00694FB9"/>
    <w:rsid w:val="006968E6"/>
    <w:rsid w:val="00696E2E"/>
    <w:rsid w:val="0069737B"/>
    <w:rsid w:val="006B4B10"/>
    <w:rsid w:val="006D289F"/>
    <w:rsid w:val="006D6038"/>
    <w:rsid w:val="006F6798"/>
    <w:rsid w:val="00702C30"/>
    <w:rsid w:val="00722F1B"/>
    <w:rsid w:val="0072654C"/>
    <w:rsid w:val="00727836"/>
    <w:rsid w:val="00727C5C"/>
    <w:rsid w:val="007437C3"/>
    <w:rsid w:val="0074617D"/>
    <w:rsid w:val="007535EE"/>
    <w:rsid w:val="00767843"/>
    <w:rsid w:val="00770054"/>
    <w:rsid w:val="00777E33"/>
    <w:rsid w:val="007803A8"/>
    <w:rsid w:val="0078725C"/>
    <w:rsid w:val="00790146"/>
    <w:rsid w:val="00794639"/>
    <w:rsid w:val="0079488F"/>
    <w:rsid w:val="0079675F"/>
    <w:rsid w:val="007B3CA7"/>
    <w:rsid w:val="007C33A5"/>
    <w:rsid w:val="007C4CF6"/>
    <w:rsid w:val="007C58BE"/>
    <w:rsid w:val="007C6F18"/>
    <w:rsid w:val="007D0CA2"/>
    <w:rsid w:val="007E21B8"/>
    <w:rsid w:val="007F0DEF"/>
    <w:rsid w:val="007F44FD"/>
    <w:rsid w:val="00832230"/>
    <w:rsid w:val="0083291A"/>
    <w:rsid w:val="00841526"/>
    <w:rsid w:val="00864C6D"/>
    <w:rsid w:val="00865602"/>
    <w:rsid w:val="00865CBC"/>
    <w:rsid w:val="00866CB0"/>
    <w:rsid w:val="00867334"/>
    <w:rsid w:val="00884D58"/>
    <w:rsid w:val="008A4F1B"/>
    <w:rsid w:val="008B1C01"/>
    <w:rsid w:val="008B298A"/>
    <w:rsid w:val="008C0163"/>
    <w:rsid w:val="008C0DE3"/>
    <w:rsid w:val="00922F9B"/>
    <w:rsid w:val="009246E8"/>
    <w:rsid w:val="00925FB3"/>
    <w:rsid w:val="00926F08"/>
    <w:rsid w:val="00936097"/>
    <w:rsid w:val="009471AA"/>
    <w:rsid w:val="00963F26"/>
    <w:rsid w:val="0096665E"/>
    <w:rsid w:val="00971AA9"/>
    <w:rsid w:val="00974D37"/>
    <w:rsid w:val="009800AD"/>
    <w:rsid w:val="009A1571"/>
    <w:rsid w:val="009A4913"/>
    <w:rsid w:val="009B5B65"/>
    <w:rsid w:val="009C09B7"/>
    <w:rsid w:val="009E7FE5"/>
    <w:rsid w:val="00A024C1"/>
    <w:rsid w:val="00A075AF"/>
    <w:rsid w:val="00A07893"/>
    <w:rsid w:val="00A2118A"/>
    <w:rsid w:val="00A32966"/>
    <w:rsid w:val="00A35E29"/>
    <w:rsid w:val="00A67BB1"/>
    <w:rsid w:val="00A70583"/>
    <w:rsid w:val="00AA611F"/>
    <w:rsid w:val="00AB46F5"/>
    <w:rsid w:val="00AC5D9F"/>
    <w:rsid w:val="00AD3890"/>
    <w:rsid w:val="00AD6D64"/>
    <w:rsid w:val="00AE2327"/>
    <w:rsid w:val="00B13B1C"/>
    <w:rsid w:val="00B340CD"/>
    <w:rsid w:val="00B3568D"/>
    <w:rsid w:val="00B461C7"/>
    <w:rsid w:val="00B60CC8"/>
    <w:rsid w:val="00B6149F"/>
    <w:rsid w:val="00B648DB"/>
    <w:rsid w:val="00B762C7"/>
    <w:rsid w:val="00B77E71"/>
    <w:rsid w:val="00B81E70"/>
    <w:rsid w:val="00B824BA"/>
    <w:rsid w:val="00BD1532"/>
    <w:rsid w:val="00BF09BB"/>
    <w:rsid w:val="00C06186"/>
    <w:rsid w:val="00C271CA"/>
    <w:rsid w:val="00C375E2"/>
    <w:rsid w:val="00C4449E"/>
    <w:rsid w:val="00C63E2A"/>
    <w:rsid w:val="00C7384C"/>
    <w:rsid w:val="00C826C8"/>
    <w:rsid w:val="00CA05D4"/>
    <w:rsid w:val="00CA4B8D"/>
    <w:rsid w:val="00CC0587"/>
    <w:rsid w:val="00CC35D4"/>
    <w:rsid w:val="00CC7F3E"/>
    <w:rsid w:val="00CD0562"/>
    <w:rsid w:val="00CD4D1C"/>
    <w:rsid w:val="00CD6261"/>
    <w:rsid w:val="00CE19E3"/>
    <w:rsid w:val="00CE3AA7"/>
    <w:rsid w:val="00CE3D3D"/>
    <w:rsid w:val="00CF5813"/>
    <w:rsid w:val="00D02863"/>
    <w:rsid w:val="00D202B7"/>
    <w:rsid w:val="00D21E84"/>
    <w:rsid w:val="00D2510F"/>
    <w:rsid w:val="00D25369"/>
    <w:rsid w:val="00D32461"/>
    <w:rsid w:val="00D4329B"/>
    <w:rsid w:val="00D432C8"/>
    <w:rsid w:val="00D47C64"/>
    <w:rsid w:val="00D47D51"/>
    <w:rsid w:val="00D5182F"/>
    <w:rsid w:val="00D57F73"/>
    <w:rsid w:val="00D72268"/>
    <w:rsid w:val="00D80CD1"/>
    <w:rsid w:val="00D92441"/>
    <w:rsid w:val="00DB1E0E"/>
    <w:rsid w:val="00DB5A71"/>
    <w:rsid w:val="00DC606B"/>
    <w:rsid w:val="00DD6E55"/>
    <w:rsid w:val="00E0753D"/>
    <w:rsid w:val="00E1318A"/>
    <w:rsid w:val="00E23D39"/>
    <w:rsid w:val="00E33A7F"/>
    <w:rsid w:val="00E36EA1"/>
    <w:rsid w:val="00E646D3"/>
    <w:rsid w:val="00E75F03"/>
    <w:rsid w:val="00E850FC"/>
    <w:rsid w:val="00E85127"/>
    <w:rsid w:val="00E9735B"/>
    <w:rsid w:val="00EA6118"/>
    <w:rsid w:val="00EB3182"/>
    <w:rsid w:val="00EB54FA"/>
    <w:rsid w:val="00EC3017"/>
    <w:rsid w:val="00EC5BDB"/>
    <w:rsid w:val="00ED3393"/>
    <w:rsid w:val="00ED4E4A"/>
    <w:rsid w:val="00EF5F8C"/>
    <w:rsid w:val="00F264E8"/>
    <w:rsid w:val="00F32D0C"/>
    <w:rsid w:val="00F35778"/>
    <w:rsid w:val="00F45D96"/>
    <w:rsid w:val="00F46540"/>
    <w:rsid w:val="00F87D18"/>
    <w:rsid w:val="00F933F6"/>
    <w:rsid w:val="00F9487F"/>
    <w:rsid w:val="00F962E0"/>
    <w:rsid w:val="00F97D1A"/>
    <w:rsid w:val="00FA0273"/>
    <w:rsid w:val="00FA6BC1"/>
    <w:rsid w:val="00FD31CE"/>
    <w:rsid w:val="00FD4BCE"/>
    <w:rsid w:val="00FE4977"/>
    <w:rsid w:val="00FE50F3"/>
    <w:rsid w:val="00FE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64AC1"/>
  <w15:docId w15:val="{875B819B-9EF8-4C70-B4EA-19409324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32D0C"/>
    <w:rPr>
      <w:sz w:val="24"/>
    </w:rPr>
  </w:style>
  <w:style w:type="paragraph" w:styleId="Nagwek1">
    <w:name w:val="heading 1"/>
    <w:basedOn w:val="Normalny"/>
    <w:next w:val="Normalny"/>
    <w:qFormat/>
    <w:rsid w:val="00B77E7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B77E7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7E7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7E7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7E7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77E7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7E71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B77E71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B77E7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F32D0C"/>
    <w:rPr>
      <w:vertAlign w:val="superscript"/>
    </w:rPr>
  </w:style>
  <w:style w:type="paragraph" w:styleId="Tekstprzypisudolnego">
    <w:name w:val="footnote text"/>
    <w:basedOn w:val="Normalny"/>
    <w:semiHidden/>
    <w:rsid w:val="00F32D0C"/>
    <w:rPr>
      <w:sz w:val="20"/>
      <w:lang w:val="fr-FR"/>
    </w:rPr>
  </w:style>
  <w:style w:type="paragraph" w:styleId="Stopka">
    <w:name w:val="footer"/>
    <w:basedOn w:val="Normalny"/>
    <w:link w:val="StopkaZnak"/>
    <w:uiPriority w:val="99"/>
    <w:rsid w:val="00F32D0C"/>
    <w:pPr>
      <w:tabs>
        <w:tab w:val="center" w:pos="4320"/>
        <w:tab w:val="right" w:pos="8640"/>
      </w:tabs>
    </w:pPr>
    <w:rPr>
      <w:lang w:val="fr-FR"/>
    </w:rPr>
  </w:style>
  <w:style w:type="paragraph" w:styleId="Nagwek">
    <w:name w:val="header"/>
    <w:basedOn w:val="Normalny"/>
    <w:link w:val="NagwekZnak"/>
    <w:uiPriority w:val="99"/>
    <w:rsid w:val="00F32D0C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Wcicienormalne">
    <w:name w:val="Normal Indent"/>
    <w:basedOn w:val="Normalny"/>
    <w:rsid w:val="00F32D0C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Normalny"/>
    <w:rsid w:val="00F32D0C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styleId="Tytu">
    <w:name w:val="Title"/>
    <w:basedOn w:val="Normalny"/>
    <w:qFormat/>
    <w:rsid w:val="00F32D0C"/>
    <w:pPr>
      <w:ind w:left="709" w:hanging="709"/>
      <w:jc w:val="center"/>
    </w:pPr>
    <w:rPr>
      <w:rFonts w:ascii="Arial" w:hAnsi="Arial"/>
      <w:b/>
      <w:sz w:val="36"/>
    </w:rPr>
  </w:style>
  <w:style w:type="character" w:styleId="Pogrubienie">
    <w:name w:val="Strong"/>
    <w:basedOn w:val="Domylnaczcionkaakapitu"/>
    <w:qFormat/>
    <w:rsid w:val="00F32D0C"/>
    <w:rPr>
      <w:b/>
    </w:rPr>
  </w:style>
  <w:style w:type="paragraph" w:customStyle="1" w:styleId="normaltableau">
    <w:name w:val="normal_tableau"/>
    <w:basedOn w:val="Normalny"/>
    <w:rsid w:val="00F32D0C"/>
    <w:pPr>
      <w:spacing w:before="120" w:after="120"/>
      <w:jc w:val="both"/>
    </w:pPr>
    <w:rPr>
      <w:rFonts w:ascii="Optima" w:hAnsi="Optima"/>
      <w:sz w:val="22"/>
    </w:rPr>
  </w:style>
  <w:style w:type="paragraph" w:customStyle="1" w:styleId="pntext">
    <w:name w:val="pntext"/>
    <w:basedOn w:val="Normalny"/>
    <w:rsid w:val="00F32D0C"/>
    <w:pPr>
      <w:spacing w:before="100" w:beforeAutospacing="1" w:after="100" w:afterAutospacing="1"/>
    </w:pPr>
    <w:rPr>
      <w:szCs w:val="24"/>
    </w:rPr>
  </w:style>
  <w:style w:type="paragraph" w:styleId="Tekstdymka">
    <w:name w:val="Balloon Text"/>
    <w:basedOn w:val="Normalny"/>
    <w:semiHidden/>
    <w:rsid w:val="002769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5B0689"/>
    <w:rPr>
      <w:sz w:val="16"/>
      <w:szCs w:val="16"/>
    </w:rPr>
  </w:style>
  <w:style w:type="paragraph" w:styleId="Tekstkomentarza">
    <w:name w:val="annotation text"/>
    <w:basedOn w:val="Normalny"/>
    <w:semiHidden/>
    <w:rsid w:val="005B0689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5B0689"/>
    <w:rPr>
      <w:b/>
      <w:bCs/>
    </w:rPr>
  </w:style>
  <w:style w:type="table" w:styleId="Tabela-Siatka">
    <w:name w:val="Table Grid"/>
    <w:basedOn w:val="Standardowy"/>
    <w:rsid w:val="0036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71999"/>
  </w:style>
  <w:style w:type="character" w:customStyle="1" w:styleId="FootnoteCharacters">
    <w:name w:val="Footnote Characters"/>
    <w:basedOn w:val="Domylnaczcionkaakapitu"/>
    <w:rsid w:val="0083291A"/>
    <w:rPr>
      <w:vertAlign w:val="superscript"/>
    </w:rPr>
  </w:style>
  <w:style w:type="paragraph" w:styleId="Poprawka">
    <w:name w:val="Revision"/>
    <w:hidden/>
    <w:uiPriority w:val="99"/>
    <w:semiHidden/>
    <w:rsid w:val="009E7FE5"/>
    <w:rPr>
      <w:sz w:val="24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1B3075"/>
    <w:rPr>
      <w:rFonts w:ascii="Arial" w:hAnsi="Arial"/>
      <w:lang w:val="en-GB"/>
    </w:rPr>
  </w:style>
  <w:style w:type="paragraph" w:styleId="Bezodstpw">
    <w:name w:val="No Spacing"/>
    <w:link w:val="BezodstpwZnak"/>
    <w:uiPriority w:val="1"/>
    <w:qFormat/>
    <w:rsid w:val="001B3075"/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1B3075"/>
    <w:rPr>
      <w:sz w:val="24"/>
      <w:szCs w:val="24"/>
    </w:rPr>
  </w:style>
  <w:style w:type="paragraph" w:customStyle="1" w:styleId="Default">
    <w:name w:val="Default"/>
    <w:rsid w:val="001B30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F264E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41526"/>
    <w:pPr>
      <w:spacing w:before="120" w:line="360" w:lineRule="auto"/>
    </w:pPr>
    <w:rPr>
      <w:rFonts w:eastAsia="Arial Unicode MS"/>
      <w:b/>
      <w:bCs/>
      <w:i/>
      <w:i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41526"/>
    <w:rPr>
      <w:rFonts w:eastAsia="Arial Unicode MS"/>
      <w:b/>
      <w:bCs/>
      <w:i/>
      <w:iCs/>
      <w:sz w:val="22"/>
    </w:rPr>
  </w:style>
  <w:style w:type="character" w:styleId="Tekstzastpczy">
    <w:name w:val="Placeholder Text"/>
    <w:basedOn w:val="Domylnaczcionkaakapitu"/>
    <w:uiPriority w:val="99"/>
    <w:semiHidden/>
    <w:rsid w:val="00841526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0E77DD"/>
    <w:rPr>
      <w:sz w:val="24"/>
      <w:lang w:val="fr-FR"/>
    </w:rPr>
  </w:style>
  <w:style w:type="character" w:styleId="Uwydatnienie">
    <w:name w:val="Emphasis"/>
    <w:basedOn w:val="Domylnaczcionkaakapitu"/>
    <w:uiPriority w:val="20"/>
    <w:qFormat/>
    <w:rsid w:val="000E77DD"/>
    <w:rPr>
      <w:i/>
      <w:iCs/>
    </w:rPr>
  </w:style>
  <w:style w:type="character" w:styleId="Hipercze">
    <w:name w:val="Hyperlink"/>
    <w:rsid w:val="00CD0562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6B4B10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1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uws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9D333-7098-4561-9EC3-D98E3A90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3036</Words>
  <Characters>18221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&lt;ZAŁĄCZNIK DO OFERTY&gt;</vt:lpstr>
    </vt:vector>
  </TitlesOfParts>
  <Company>KSWIK</Company>
  <LinksUpToDate>false</LinksUpToDate>
  <CharactersWithSpaces>21215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&lt;ZAŁĄCZNIK DO OFERTY&gt;</dc:title>
  <dc:creator>ZUWŚ JRP ZP14/POIIS/2019</dc:creator>
  <cp:lastModifiedBy>Dariusz Kuczyński</cp:lastModifiedBy>
  <cp:revision>6</cp:revision>
  <cp:lastPrinted>2019-01-22T12:35:00Z</cp:lastPrinted>
  <dcterms:created xsi:type="dcterms:W3CDTF">2019-01-21T12:02:00Z</dcterms:created>
  <dcterms:modified xsi:type="dcterms:W3CDTF">2019-01-22T12:35:00Z</dcterms:modified>
</cp:coreProperties>
</file>